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CE208E" w14:textId="77777777" w:rsidR="00253558" w:rsidRDefault="004C7FA8" w:rsidP="00253558">
      <w:pPr>
        <w:pStyle w:val="Heading1"/>
        <w:spacing w:after="240"/>
      </w:pPr>
      <w:bookmarkStart w:id="0" w:name="_GoBack"/>
      <w:bookmarkEnd w:id="0"/>
      <w:r>
        <w:t>ANTI-corruption</w:t>
      </w:r>
      <w:r w:rsidR="00677132">
        <w:rPr>
          <w:lang w:val="en-GB" w:eastAsia="en-GB"/>
        </w:rPr>
        <w:drawing>
          <wp:anchor distT="0" distB="0" distL="114300" distR="114300" simplePos="0" relativeHeight="251666432" behindDoc="0" locked="1" layoutInCell="1" allowOverlap="1" wp14:anchorId="7162B50C" wp14:editId="72C893DA">
            <wp:simplePos x="0" y="0"/>
            <wp:positionH relativeFrom="margin">
              <wp:align>right</wp:align>
            </wp:positionH>
            <wp:positionV relativeFrom="page">
              <wp:posOffset>213360</wp:posOffset>
            </wp:positionV>
            <wp:extent cx="2413000" cy="579120"/>
            <wp:effectExtent l="0" t="0" r="6350" b="0"/>
            <wp:wrapNone/>
            <wp:docPr id="43" name="Picture 43" descr="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blue"/>
                    <pic:cNvPicPr>
                      <a:picLocks noChangeAspect="1" noChangeArrowheads="1"/>
                    </pic:cNvPicPr>
                  </pic:nvPicPr>
                  <pic:blipFill>
                    <a:blip r:embed="rId8"/>
                    <a:stretch>
                      <a:fillRect/>
                    </a:stretch>
                  </pic:blipFill>
                  <pic:spPr bwMode="auto">
                    <a:xfrm>
                      <a:off x="0" y="0"/>
                      <a:ext cx="2413000" cy="579120"/>
                    </a:xfrm>
                    <a:prstGeom prst="rect">
                      <a:avLst/>
                    </a:prstGeom>
                    <a:noFill/>
                    <a:ln w="9525">
                      <a:noFill/>
                      <a:miter lim="800000"/>
                      <a:headEnd/>
                      <a:tailEnd/>
                    </a:ln>
                  </pic:spPr>
                </pic:pic>
              </a:graphicData>
            </a:graphic>
          </wp:anchor>
        </w:drawing>
      </w:r>
      <w:r w:rsidR="0096531F">
        <w:t xml:space="preserve"> commitments in</w:t>
      </w:r>
      <w:r>
        <w:t xml:space="preserve"> the open government partnership</w:t>
      </w:r>
    </w:p>
    <w:p w14:paraId="74C3D49B" w14:textId="77777777" w:rsidR="00253558" w:rsidRDefault="00253558" w:rsidP="00253558">
      <w:pPr>
        <w:pStyle w:val="Header"/>
      </w:pPr>
      <w:r>
        <w:t>Andy McDevitt and Jose Marin</w:t>
      </w:r>
    </w:p>
    <w:p w14:paraId="17C0233D" w14:textId="77777777" w:rsidR="00253558" w:rsidRDefault="00253558" w:rsidP="00253558">
      <w:pPr>
        <w:pStyle w:val="Header"/>
      </w:pPr>
      <w:r>
        <w:t xml:space="preserve">TI Research </w:t>
      </w:r>
      <w:r w:rsidR="00A21D5C">
        <w:t xml:space="preserve">and Knowledge </w:t>
      </w:r>
      <w:r>
        <w:t>Department</w:t>
      </w:r>
    </w:p>
    <w:p w14:paraId="4114A869" w14:textId="77777777" w:rsidR="00253558" w:rsidRDefault="00253558" w:rsidP="00253558">
      <w:pPr>
        <w:rPr>
          <w:noProof/>
        </w:rPr>
      </w:pPr>
      <w:r>
        <w:t>February 2016</w:t>
      </w:r>
    </w:p>
    <w:p w14:paraId="508DA866" w14:textId="77777777" w:rsidR="004C7FA8" w:rsidRDefault="004C7FA8" w:rsidP="004C7FA8">
      <w:pPr>
        <w:pStyle w:val="Heading2"/>
        <w:rPr>
          <w:noProof/>
        </w:rPr>
      </w:pPr>
      <w:r>
        <w:rPr>
          <w:noProof/>
        </w:rPr>
        <w:t>INTRODUCTION</w:t>
      </w:r>
    </w:p>
    <w:p w14:paraId="65822C3E" w14:textId="524859B3" w:rsidR="004C7FA8" w:rsidRPr="004C7FA8" w:rsidRDefault="00AA26C7" w:rsidP="004C7FA8">
      <w:pPr>
        <w:rPr>
          <w:noProof/>
        </w:rPr>
      </w:pPr>
      <w:r>
        <w:rPr>
          <w:noProof/>
        </w:rPr>
        <w:t>When governments sign up to the</w:t>
      </w:r>
      <w:r w:rsidRPr="004C7FA8">
        <w:rPr>
          <w:noProof/>
        </w:rPr>
        <w:t xml:space="preserve"> </w:t>
      </w:r>
      <w:r w:rsidR="004C7FA8" w:rsidRPr="004C7FA8">
        <w:rPr>
          <w:noProof/>
        </w:rPr>
        <w:t>Open Government Partnership (OGP)</w:t>
      </w:r>
      <w:r>
        <w:rPr>
          <w:noProof/>
        </w:rPr>
        <w:t xml:space="preserve"> they adopt the Open Government</w:t>
      </w:r>
      <w:r w:rsidR="004C7FA8" w:rsidRPr="004C7FA8">
        <w:rPr>
          <w:noProof/>
        </w:rPr>
        <w:t xml:space="preserve"> </w:t>
      </w:r>
      <w:r w:rsidR="004C7FA8">
        <w:rPr>
          <w:noProof/>
        </w:rPr>
        <w:t>D</w:t>
      </w:r>
      <w:r w:rsidR="004C7FA8" w:rsidRPr="004C7FA8">
        <w:rPr>
          <w:noProof/>
        </w:rPr>
        <w:t>eclaration</w:t>
      </w:r>
      <w:r>
        <w:rPr>
          <w:noProof/>
        </w:rPr>
        <w:t>, which</w:t>
      </w:r>
      <w:r w:rsidR="004C7FA8" w:rsidRPr="004C7FA8">
        <w:rPr>
          <w:noProof/>
        </w:rPr>
        <w:t xml:space="preserve"> </w:t>
      </w:r>
      <w:r>
        <w:rPr>
          <w:noProof/>
        </w:rPr>
        <w:t>includes</w:t>
      </w:r>
      <w:r w:rsidR="004C7FA8" w:rsidRPr="004C7FA8">
        <w:rPr>
          <w:noProof/>
        </w:rPr>
        <w:t xml:space="preserve"> the commitment to “hav[e] robust anti-corruption policies, mechanisms and practices, ensuring transparency in the management of public finances and government purchasing, and strengthening the rule of law”</w:t>
      </w:r>
      <w:r w:rsidR="004C7FA8" w:rsidRPr="004C7FA8">
        <w:rPr>
          <w:noProof/>
          <w:vertAlign w:val="superscript"/>
        </w:rPr>
        <w:footnoteReference w:id="1"/>
      </w:r>
      <w:r w:rsidR="004C7FA8" w:rsidRPr="004C7FA8">
        <w:rPr>
          <w:noProof/>
        </w:rPr>
        <w:t>. In addition, OGP commitments are to be structured around grand challenges, one of which is to increase public integrity</w:t>
      </w:r>
      <w:r w:rsidR="004C7FA8" w:rsidRPr="004C7FA8">
        <w:rPr>
          <w:noProof/>
          <w:vertAlign w:val="superscript"/>
        </w:rPr>
        <w:footnoteReference w:id="2"/>
      </w:r>
      <w:r w:rsidR="004C7FA8" w:rsidRPr="004C7FA8">
        <w:rPr>
          <w:noProof/>
        </w:rPr>
        <w:t xml:space="preserve">. </w:t>
      </w:r>
      <w:r w:rsidR="009D23D5">
        <w:rPr>
          <w:noProof/>
        </w:rPr>
        <w:t>Overall, while anti-corruption has featured in OGP commitments</w:t>
      </w:r>
      <w:r w:rsidR="00C0605D">
        <w:rPr>
          <w:noProof/>
        </w:rPr>
        <w:t xml:space="preserve"> </w:t>
      </w:r>
      <w:r w:rsidR="00A06F61">
        <w:rPr>
          <w:noProof/>
        </w:rPr>
        <w:t>toward public integrity and other areas</w:t>
      </w:r>
      <w:r w:rsidR="009D23D5">
        <w:rPr>
          <w:noProof/>
        </w:rPr>
        <w:t xml:space="preserve">, there is considerable scope for promoting </w:t>
      </w:r>
      <w:r w:rsidR="00277EF9">
        <w:rPr>
          <w:noProof/>
        </w:rPr>
        <w:t>more specific, actionable and ambitious anti-corruption aims</w:t>
      </w:r>
      <w:r w:rsidR="009D23D5">
        <w:rPr>
          <w:noProof/>
        </w:rPr>
        <w:t xml:space="preserve">. </w:t>
      </w:r>
      <w:r>
        <w:rPr>
          <w:noProof/>
        </w:rPr>
        <w:t xml:space="preserve">The recent establishment of </w:t>
      </w:r>
      <w:r w:rsidR="009D23D5">
        <w:rPr>
          <w:noProof/>
        </w:rPr>
        <w:t xml:space="preserve">an </w:t>
      </w:r>
      <w:r>
        <w:rPr>
          <w:noProof/>
        </w:rPr>
        <w:t xml:space="preserve">OGP </w:t>
      </w:r>
      <w:r w:rsidR="009D23D5">
        <w:rPr>
          <w:noProof/>
        </w:rPr>
        <w:t>anti-corruption working group is one way</w:t>
      </w:r>
      <w:r>
        <w:rPr>
          <w:noProof/>
        </w:rPr>
        <w:t xml:space="preserve"> to </w:t>
      </w:r>
      <w:r w:rsidR="00D315C6">
        <w:rPr>
          <w:noProof/>
        </w:rPr>
        <w:t>work with</w:t>
      </w:r>
      <w:r>
        <w:rPr>
          <w:noProof/>
        </w:rPr>
        <w:t xml:space="preserve"> governments to make more relevant and ambitious commitments to tackle corruption.</w:t>
      </w:r>
      <w:r w:rsidR="009D23D5">
        <w:rPr>
          <w:noProof/>
        </w:rPr>
        <w:t xml:space="preserve"> </w:t>
      </w:r>
    </w:p>
    <w:p w14:paraId="4DE82289" w14:textId="77777777" w:rsidR="00E06BA9" w:rsidRDefault="002F02D9" w:rsidP="00557087">
      <w:pPr>
        <w:rPr>
          <w:noProof/>
        </w:rPr>
      </w:pPr>
      <w:r w:rsidRPr="002F02D9">
        <w:rPr>
          <w:noProof/>
        </w:rPr>
        <w:t xml:space="preserve">This </w:t>
      </w:r>
      <w:r w:rsidR="00677132">
        <w:rPr>
          <w:noProof/>
        </w:rPr>
        <w:t xml:space="preserve">short </w:t>
      </w:r>
      <w:r w:rsidRPr="002F02D9">
        <w:rPr>
          <w:noProof/>
        </w:rPr>
        <w:t xml:space="preserve">paper presents a broad typology of the kinds of </w:t>
      </w:r>
      <w:r w:rsidR="0096531F">
        <w:rPr>
          <w:noProof/>
        </w:rPr>
        <w:t xml:space="preserve">anti-corruption </w:t>
      </w:r>
      <w:r w:rsidRPr="002F02D9">
        <w:rPr>
          <w:noProof/>
        </w:rPr>
        <w:t xml:space="preserve">commitments </w:t>
      </w:r>
      <w:r w:rsidR="009D23D5">
        <w:rPr>
          <w:noProof/>
        </w:rPr>
        <w:t xml:space="preserve">that </w:t>
      </w:r>
      <w:r w:rsidRPr="002F02D9">
        <w:rPr>
          <w:noProof/>
        </w:rPr>
        <w:t xml:space="preserve">governments could take on as part of a holistic strategy to </w:t>
      </w:r>
      <w:r w:rsidR="0096531F">
        <w:rPr>
          <w:noProof/>
        </w:rPr>
        <w:t>address</w:t>
      </w:r>
      <w:r w:rsidRPr="002F02D9">
        <w:rPr>
          <w:noProof/>
        </w:rPr>
        <w:t xml:space="preserve"> c</w:t>
      </w:r>
      <w:r w:rsidR="004C7FA8">
        <w:rPr>
          <w:noProof/>
        </w:rPr>
        <w:t>orruption</w:t>
      </w:r>
      <w:r w:rsidR="00A06F61">
        <w:rPr>
          <w:noProof/>
        </w:rPr>
        <w:t xml:space="preserve"> in OGP national action plans.</w:t>
      </w:r>
      <w:r w:rsidR="00DD4425">
        <w:rPr>
          <w:noProof/>
        </w:rPr>
        <w:t xml:space="preserve"> It focuses on </w:t>
      </w:r>
      <w:r w:rsidR="00BF3D26">
        <w:rPr>
          <w:noProof/>
        </w:rPr>
        <w:t xml:space="preserve">commitments made </w:t>
      </w:r>
      <w:r w:rsidR="00EF2A3A">
        <w:rPr>
          <w:noProof/>
        </w:rPr>
        <w:t>in the broad area of</w:t>
      </w:r>
      <w:r w:rsidR="00BF3D26">
        <w:rPr>
          <w:noProof/>
        </w:rPr>
        <w:t xml:space="preserve"> </w:t>
      </w:r>
      <w:r w:rsidR="00DD4425">
        <w:rPr>
          <w:noProof/>
        </w:rPr>
        <w:t>public integrity</w:t>
      </w:r>
      <w:r w:rsidR="00BF3D26">
        <w:rPr>
          <w:noProof/>
        </w:rPr>
        <w:t>, recognising that this is one</w:t>
      </w:r>
      <w:r w:rsidR="006F2E4C">
        <w:rPr>
          <w:noProof/>
        </w:rPr>
        <w:t>,</w:t>
      </w:r>
      <w:r w:rsidR="00BF3D26">
        <w:rPr>
          <w:noProof/>
        </w:rPr>
        <w:t xml:space="preserve"> but not the only</w:t>
      </w:r>
      <w:r w:rsidR="006F2E4C">
        <w:rPr>
          <w:noProof/>
        </w:rPr>
        <w:t>,</w:t>
      </w:r>
      <w:r w:rsidR="00BF3D26">
        <w:rPr>
          <w:noProof/>
        </w:rPr>
        <w:t xml:space="preserve"> approach to anti-corruption efforts</w:t>
      </w:r>
      <w:r w:rsidR="00B122CC">
        <w:rPr>
          <w:noProof/>
        </w:rPr>
        <w:t>.</w:t>
      </w:r>
      <w:r w:rsidR="00A06F61">
        <w:rPr>
          <w:noProof/>
        </w:rPr>
        <w:t xml:space="preserve"> </w:t>
      </w:r>
      <w:r w:rsidR="004601C9">
        <w:rPr>
          <w:noProof/>
        </w:rPr>
        <w:t>The paper</w:t>
      </w:r>
      <w:r w:rsidR="00A06F61">
        <w:rPr>
          <w:noProof/>
        </w:rPr>
        <w:t xml:space="preserve"> can </w:t>
      </w:r>
      <w:r w:rsidR="00BF3D26">
        <w:rPr>
          <w:noProof/>
        </w:rPr>
        <w:t xml:space="preserve">therefore </w:t>
      </w:r>
      <w:r w:rsidR="00A06F61">
        <w:rPr>
          <w:noProof/>
        </w:rPr>
        <w:t>serve as a starting point for the OGP anti-corruption working group, as it assesses progress on anti-corruption and begins to work toward a more robust articulation and implementation of commitments that counter corruption</w:t>
      </w:r>
      <w:r w:rsidRPr="002F02D9">
        <w:rPr>
          <w:noProof/>
        </w:rPr>
        <w:t>.</w:t>
      </w:r>
      <w:r w:rsidR="004C7FA8">
        <w:rPr>
          <w:noProof/>
        </w:rPr>
        <w:t xml:space="preserve"> </w:t>
      </w:r>
    </w:p>
    <w:p w14:paraId="5D81BDB4" w14:textId="77777777" w:rsidR="004C7FA8" w:rsidRDefault="004C7FA8" w:rsidP="00557087">
      <w:pPr>
        <w:rPr>
          <w:noProof/>
        </w:rPr>
      </w:pPr>
      <w:r>
        <w:rPr>
          <w:noProof/>
        </w:rPr>
        <w:t xml:space="preserve">The typology covers those commitments which have already been made under the OGP </w:t>
      </w:r>
      <w:r w:rsidR="00BF3D26">
        <w:rPr>
          <w:noProof/>
        </w:rPr>
        <w:t xml:space="preserve">in the public integrity area </w:t>
      </w:r>
      <w:r>
        <w:rPr>
          <w:noProof/>
        </w:rPr>
        <w:t xml:space="preserve">as well as </w:t>
      </w:r>
      <w:r w:rsidR="0096531F">
        <w:rPr>
          <w:noProof/>
        </w:rPr>
        <w:t>relevant</w:t>
      </w:r>
      <w:r>
        <w:rPr>
          <w:noProof/>
        </w:rPr>
        <w:t xml:space="preserve"> areas which have not been covered to date but which </w:t>
      </w:r>
      <w:r w:rsidR="0096531F">
        <w:rPr>
          <w:noProof/>
        </w:rPr>
        <w:t xml:space="preserve">are crucial in tackling </w:t>
      </w:r>
      <w:r w:rsidR="00677132">
        <w:rPr>
          <w:noProof/>
        </w:rPr>
        <w:t>corruption</w:t>
      </w:r>
      <w:r w:rsidR="004601C9">
        <w:rPr>
          <w:rStyle w:val="FootnoteReference"/>
          <w:noProof/>
        </w:rPr>
        <w:footnoteReference w:id="3"/>
      </w:r>
      <w:r w:rsidR="00677132">
        <w:rPr>
          <w:noProof/>
        </w:rPr>
        <w:t xml:space="preserve">. </w:t>
      </w:r>
      <w:r w:rsidR="00A06F61">
        <w:rPr>
          <w:noProof/>
        </w:rPr>
        <w:t>The paper</w:t>
      </w:r>
      <w:r w:rsidR="00677132">
        <w:rPr>
          <w:noProof/>
        </w:rPr>
        <w:t xml:space="preserve"> </w:t>
      </w:r>
      <w:r w:rsidR="00A06F61">
        <w:rPr>
          <w:noProof/>
        </w:rPr>
        <w:t>includes</w:t>
      </w:r>
      <w:r w:rsidR="00677132">
        <w:rPr>
          <w:noProof/>
        </w:rPr>
        <w:t xml:space="preserve"> some il</w:t>
      </w:r>
      <w:r w:rsidR="008A2733">
        <w:rPr>
          <w:noProof/>
        </w:rPr>
        <w:t>l</w:t>
      </w:r>
      <w:r w:rsidR="00677132">
        <w:rPr>
          <w:noProof/>
        </w:rPr>
        <w:t xml:space="preserve">ustrative examples of </w:t>
      </w:r>
      <w:r w:rsidR="00AB4853">
        <w:rPr>
          <w:noProof/>
        </w:rPr>
        <w:t xml:space="preserve">ambitious but realistic </w:t>
      </w:r>
      <w:r w:rsidR="00677132">
        <w:rPr>
          <w:noProof/>
        </w:rPr>
        <w:t>government a</w:t>
      </w:r>
      <w:r w:rsidR="00BF3D26">
        <w:rPr>
          <w:noProof/>
        </w:rPr>
        <w:t>nti-corruption commitments that have come from</w:t>
      </w:r>
      <w:r w:rsidR="00677132">
        <w:rPr>
          <w:noProof/>
        </w:rPr>
        <w:t xml:space="preserve"> within the framework of OGP and beyond. The aim is</w:t>
      </w:r>
      <w:r w:rsidR="00E40F96">
        <w:rPr>
          <w:noProof/>
        </w:rPr>
        <w:t xml:space="preserve"> to</w:t>
      </w:r>
      <w:r w:rsidR="00677132">
        <w:rPr>
          <w:noProof/>
        </w:rPr>
        <w:t xml:space="preserve"> provide </w:t>
      </w:r>
      <w:r w:rsidR="00F00EA5">
        <w:rPr>
          <w:noProof/>
        </w:rPr>
        <w:t xml:space="preserve">concrete ideas to the newly formed OGP anti-corruption working group and </w:t>
      </w:r>
      <w:r w:rsidR="00677132">
        <w:rPr>
          <w:noProof/>
        </w:rPr>
        <w:t>aspiring governments on how they ca</w:t>
      </w:r>
      <w:r w:rsidR="00BF3D26">
        <w:rPr>
          <w:noProof/>
        </w:rPr>
        <w:t>n ramp up their</w:t>
      </w:r>
      <w:r w:rsidR="0096531F">
        <w:rPr>
          <w:noProof/>
        </w:rPr>
        <w:t xml:space="preserve"> ambitions in tackling </w:t>
      </w:r>
      <w:r w:rsidR="00677132">
        <w:rPr>
          <w:noProof/>
        </w:rPr>
        <w:t>corruption.</w:t>
      </w:r>
    </w:p>
    <w:p w14:paraId="55579DB9" w14:textId="77777777" w:rsidR="009D0CF7" w:rsidRPr="004C7FA8" w:rsidRDefault="009D0CF7" w:rsidP="009D0CF7">
      <w:pPr>
        <w:pStyle w:val="Heading2"/>
        <w:rPr>
          <w:noProof/>
        </w:rPr>
      </w:pPr>
      <w:r w:rsidRPr="004C7FA8">
        <w:rPr>
          <w:noProof/>
        </w:rPr>
        <w:lastRenderedPageBreak/>
        <w:t xml:space="preserve">Existing Anti-Corruption Commitments in </w:t>
      </w:r>
      <w:r>
        <w:rPr>
          <w:noProof/>
        </w:rPr>
        <w:t>the Open Government Partnership</w:t>
      </w:r>
      <w:r>
        <w:rPr>
          <w:rStyle w:val="FootnoteReference"/>
          <w:noProof/>
        </w:rPr>
        <w:footnoteReference w:id="4"/>
      </w:r>
    </w:p>
    <w:p w14:paraId="1D4A9B4D" w14:textId="77777777" w:rsidR="009D0CF7" w:rsidRPr="00281926" w:rsidRDefault="009D0CF7" w:rsidP="009D0CF7">
      <w:pPr>
        <w:pStyle w:val="Heading3"/>
        <w:spacing w:before="0"/>
        <w:rPr>
          <w:lang w:val="en-GB"/>
        </w:rPr>
      </w:pPr>
      <w:r w:rsidRPr="00281926">
        <w:rPr>
          <w:lang w:val="en-GB"/>
        </w:rPr>
        <w:t>Commitments in numbers</w:t>
      </w:r>
    </w:p>
    <w:p w14:paraId="52348B53" w14:textId="77777777" w:rsidR="009D0CF7" w:rsidRPr="001B032C" w:rsidRDefault="009D0CF7" w:rsidP="009D0CF7">
      <w:pPr>
        <w:rPr>
          <w:noProof/>
        </w:rPr>
      </w:pPr>
      <w:r w:rsidRPr="004C7FA8">
        <w:rPr>
          <w:noProof/>
        </w:rPr>
        <w:t xml:space="preserve">In four years of </w:t>
      </w:r>
      <w:r>
        <w:rPr>
          <w:noProof/>
        </w:rPr>
        <w:t xml:space="preserve">OGP </w:t>
      </w:r>
      <w:r w:rsidRPr="004C7FA8">
        <w:rPr>
          <w:noProof/>
        </w:rPr>
        <w:t>activities</w:t>
      </w:r>
      <w:r>
        <w:rPr>
          <w:noProof/>
        </w:rPr>
        <w:t xml:space="preserve"> so far</w:t>
      </w:r>
      <w:r w:rsidRPr="004C7FA8">
        <w:rPr>
          <w:noProof/>
        </w:rPr>
        <w:t xml:space="preserve">, there have been more than two thousand national commitments </w:t>
      </w:r>
      <w:r>
        <w:rPr>
          <w:noProof/>
        </w:rPr>
        <w:t>made</w:t>
      </w:r>
      <w:r w:rsidRPr="004C7FA8">
        <w:rPr>
          <w:noProof/>
        </w:rPr>
        <w:t xml:space="preserve">. </w:t>
      </w:r>
      <w:r w:rsidRPr="001B032C">
        <w:rPr>
          <w:noProof/>
        </w:rPr>
        <w:t xml:space="preserve">In total, there are approximately 175 commitments that fall under the category of </w:t>
      </w:r>
      <w:r w:rsidR="00F00EA5">
        <w:rPr>
          <w:noProof/>
        </w:rPr>
        <w:t>‘</w:t>
      </w:r>
      <w:r w:rsidRPr="001B032C">
        <w:rPr>
          <w:noProof/>
        </w:rPr>
        <w:t>public integri</w:t>
      </w:r>
      <w:r>
        <w:rPr>
          <w:noProof/>
        </w:rPr>
        <w:t>ty measures</w:t>
      </w:r>
      <w:r w:rsidR="00F00EA5">
        <w:rPr>
          <w:noProof/>
        </w:rPr>
        <w:t>’</w:t>
      </w:r>
      <w:r w:rsidR="007540A1">
        <w:rPr>
          <w:rStyle w:val="FootnoteReference"/>
          <w:noProof/>
        </w:rPr>
        <w:footnoteReference w:id="5"/>
      </w:r>
      <w:r w:rsidR="007540A1">
        <w:rPr>
          <w:noProof/>
        </w:rPr>
        <w:t xml:space="preserve"> which have been made by </w:t>
      </w:r>
      <w:r w:rsidRPr="001B032C">
        <w:rPr>
          <w:noProof/>
        </w:rPr>
        <w:t>47</w:t>
      </w:r>
      <w:r>
        <w:rPr>
          <w:noProof/>
        </w:rPr>
        <w:t xml:space="preserve"> out of 62 countries</w:t>
      </w:r>
      <w:r w:rsidR="007540A1">
        <w:rPr>
          <w:noProof/>
        </w:rPr>
        <w:t xml:space="preserve"> analysed</w:t>
      </w:r>
      <w:r>
        <w:rPr>
          <w:noProof/>
        </w:rPr>
        <w:t>.</w:t>
      </w:r>
      <w:r w:rsidR="007540A1" w:rsidRPr="001B032C">
        <w:rPr>
          <w:noProof/>
          <w:vertAlign w:val="superscript"/>
        </w:rPr>
        <w:footnoteReference w:id="6"/>
      </w:r>
      <w:r>
        <w:rPr>
          <w:noProof/>
        </w:rPr>
        <w:t xml:space="preserve"> </w:t>
      </w:r>
      <w:r w:rsidR="00D233CA">
        <w:rPr>
          <w:noProof/>
        </w:rPr>
        <w:t xml:space="preserve">Although this is a relatively small number of commitments, they are the ones identified (tagged) by the OGP as being </w:t>
      </w:r>
      <w:r w:rsidR="00B0597E">
        <w:rPr>
          <w:noProof/>
        </w:rPr>
        <w:t xml:space="preserve">directly related to </w:t>
      </w:r>
      <w:r w:rsidR="00B122CC">
        <w:rPr>
          <w:noProof/>
        </w:rPr>
        <w:t>public integrity measures</w:t>
      </w:r>
      <w:r w:rsidR="00D233CA">
        <w:rPr>
          <w:noProof/>
        </w:rPr>
        <w:t xml:space="preserve">. Additional commitments may be found which contribute to anti-corruption efforts; however, </w:t>
      </w:r>
      <w:r w:rsidR="000A4D93">
        <w:rPr>
          <w:noProof/>
        </w:rPr>
        <w:t>they have not been included in this initial scoping and should be assessed in the future.</w:t>
      </w:r>
    </w:p>
    <w:p w14:paraId="44D1CB64" w14:textId="77777777" w:rsidR="009D0CF7" w:rsidRPr="001B032C" w:rsidRDefault="009D0CF7" w:rsidP="009D0CF7">
      <w:pPr>
        <w:rPr>
          <w:noProof/>
        </w:rPr>
      </w:pPr>
      <w:r w:rsidRPr="001B032C">
        <w:rPr>
          <w:noProof/>
        </w:rPr>
        <w:t xml:space="preserve">Of the countries that have commitments on public integrity measures, each had on average three commitments. By taking the proportion of public integrity measures committed from the total commitments, we can get an idea of the relative importance of this type of commitment in each country. Public integrity measures, as a proportion of total commitments averages approximately 12% - indicating </w:t>
      </w:r>
      <w:r>
        <w:rPr>
          <w:noProof/>
        </w:rPr>
        <w:t>the</w:t>
      </w:r>
      <w:r w:rsidRPr="001B032C">
        <w:rPr>
          <w:noProof/>
        </w:rPr>
        <w:t xml:space="preserve"> modest importance of this issue </w:t>
      </w:r>
      <w:r>
        <w:rPr>
          <w:noProof/>
        </w:rPr>
        <w:t>afforded by</w:t>
      </w:r>
      <w:r w:rsidRPr="001B032C">
        <w:rPr>
          <w:noProof/>
        </w:rPr>
        <w:t xml:space="preserve"> the stakeholders elaborating the na</w:t>
      </w:r>
      <w:r>
        <w:rPr>
          <w:noProof/>
        </w:rPr>
        <w:t>tional action plans. The largest</w:t>
      </w:r>
      <w:r w:rsidRPr="001B032C">
        <w:rPr>
          <w:noProof/>
        </w:rPr>
        <w:t xml:space="preserve"> proportion of </w:t>
      </w:r>
      <w:r>
        <w:rPr>
          <w:noProof/>
        </w:rPr>
        <w:t xml:space="preserve">public integrity related </w:t>
      </w:r>
      <w:r w:rsidRPr="001B032C">
        <w:rPr>
          <w:noProof/>
        </w:rPr>
        <w:t>commitments was found in Ghana and Serbia with 3</w:t>
      </w:r>
      <w:r>
        <w:rPr>
          <w:noProof/>
        </w:rPr>
        <w:t>1</w:t>
      </w:r>
      <w:r w:rsidRPr="001B032C">
        <w:rPr>
          <w:noProof/>
        </w:rPr>
        <w:t>% (4 out of 13 total commitments)</w:t>
      </w:r>
      <w:r>
        <w:rPr>
          <w:noProof/>
        </w:rPr>
        <w:t xml:space="preserve"> each</w:t>
      </w:r>
      <w:r w:rsidRPr="001B032C">
        <w:rPr>
          <w:noProof/>
        </w:rPr>
        <w:t>.</w:t>
      </w:r>
    </w:p>
    <w:p w14:paraId="3F7485CF" w14:textId="77777777" w:rsidR="009D0CF7" w:rsidRPr="008A2733" w:rsidRDefault="009D0CF7" w:rsidP="009D0CF7">
      <w:pPr>
        <w:pStyle w:val="Heading3"/>
        <w:spacing w:before="0"/>
        <w:rPr>
          <w:lang w:val="en-GB"/>
        </w:rPr>
      </w:pPr>
      <w:r w:rsidRPr="008A2733">
        <w:rPr>
          <w:lang w:val="en-GB"/>
        </w:rPr>
        <w:t>Types of commitments</w:t>
      </w:r>
    </w:p>
    <w:p w14:paraId="743E1ECD" w14:textId="77777777" w:rsidR="009D0CF7" w:rsidRDefault="009D0CF7" w:rsidP="009D0CF7">
      <w:pPr>
        <w:rPr>
          <w:noProof/>
        </w:rPr>
      </w:pPr>
      <w:r w:rsidRPr="001B032C">
        <w:rPr>
          <w:noProof/>
        </w:rPr>
        <w:t>A</w:t>
      </w:r>
      <w:r>
        <w:rPr>
          <w:noProof/>
        </w:rPr>
        <w:t xml:space="preserve">s can be seen from </w:t>
      </w:r>
      <w:r w:rsidR="00BF3D26">
        <w:rPr>
          <w:noProof/>
        </w:rPr>
        <w:t>the Table</w:t>
      </w:r>
      <w:r>
        <w:rPr>
          <w:noProof/>
        </w:rPr>
        <w:t xml:space="preserve"> </w:t>
      </w:r>
      <w:r w:rsidR="00E06BA9">
        <w:rPr>
          <w:noProof/>
        </w:rPr>
        <w:t>below</w:t>
      </w:r>
      <w:r>
        <w:rPr>
          <w:noProof/>
        </w:rPr>
        <w:t>, a</w:t>
      </w:r>
      <w:r w:rsidRPr="001B032C">
        <w:rPr>
          <w:noProof/>
        </w:rPr>
        <w:t xml:space="preserve"> significant number of commitments seek to tackle bureaucratic corruption</w:t>
      </w:r>
      <w:r>
        <w:rPr>
          <w:noProof/>
        </w:rPr>
        <w:t>. Such commitments</w:t>
      </w:r>
      <w:r w:rsidRPr="001B032C">
        <w:rPr>
          <w:noProof/>
        </w:rPr>
        <w:t xml:space="preserve"> tend to focus on executive</w:t>
      </w:r>
      <w:r>
        <w:rPr>
          <w:noProof/>
        </w:rPr>
        <w:t xml:space="preserve"> agencies, ethics committees, and</w:t>
      </w:r>
      <w:r w:rsidRPr="001B032C">
        <w:rPr>
          <w:noProof/>
        </w:rPr>
        <w:t xml:space="preserve"> civil service administrations or</w:t>
      </w:r>
      <w:r>
        <w:rPr>
          <w:noProof/>
        </w:rPr>
        <w:t xml:space="preserve"> on</w:t>
      </w:r>
      <w:r w:rsidRPr="001B032C">
        <w:rPr>
          <w:noProof/>
        </w:rPr>
        <w:t xml:space="preserve"> oversight institutions</w:t>
      </w:r>
      <w:r>
        <w:rPr>
          <w:noProof/>
        </w:rPr>
        <w:t xml:space="preserve"> s</w:t>
      </w:r>
      <w:r w:rsidRPr="001B032C">
        <w:rPr>
          <w:noProof/>
        </w:rPr>
        <w:t xml:space="preserve">uch as internal audit units and supreme audit institutions. The types of activities within this </w:t>
      </w:r>
      <w:r>
        <w:rPr>
          <w:noProof/>
        </w:rPr>
        <w:t>category</w:t>
      </w:r>
      <w:r w:rsidRPr="001B032C">
        <w:rPr>
          <w:noProof/>
        </w:rPr>
        <w:t xml:space="preserve"> of commitments can be </w:t>
      </w:r>
      <w:r>
        <w:rPr>
          <w:noProof/>
        </w:rPr>
        <w:t>largely</w:t>
      </w:r>
      <w:r w:rsidRPr="001B032C">
        <w:rPr>
          <w:noProof/>
        </w:rPr>
        <w:t xml:space="preserve"> </w:t>
      </w:r>
      <w:r>
        <w:rPr>
          <w:noProof/>
        </w:rPr>
        <w:t>broken down into</w:t>
      </w:r>
      <w:r w:rsidRPr="001B032C">
        <w:rPr>
          <w:noProof/>
        </w:rPr>
        <w:t xml:space="preserve"> </w:t>
      </w:r>
      <w:r>
        <w:rPr>
          <w:noProof/>
        </w:rPr>
        <w:t>regulatory reform and</w:t>
      </w:r>
      <w:r w:rsidRPr="001B032C">
        <w:rPr>
          <w:noProof/>
        </w:rPr>
        <w:t xml:space="preserve"> capacity or systems building. </w:t>
      </w:r>
    </w:p>
    <w:p w14:paraId="0E309F0E" w14:textId="77777777" w:rsidR="009D0CF7" w:rsidRDefault="009D0CF7" w:rsidP="009D0CF7">
      <w:pPr>
        <w:rPr>
          <w:noProof/>
        </w:rPr>
      </w:pPr>
      <w:r>
        <w:rPr>
          <w:noProof/>
        </w:rPr>
        <w:t>In particular, t</w:t>
      </w:r>
      <w:r w:rsidRPr="001B032C">
        <w:rPr>
          <w:noProof/>
        </w:rPr>
        <w:t>here is a significant number of commitments tha</w:t>
      </w:r>
      <w:r>
        <w:rPr>
          <w:noProof/>
        </w:rPr>
        <w:t>t focus on regulatory reform with regards to</w:t>
      </w:r>
      <w:r w:rsidRPr="001B032C">
        <w:rPr>
          <w:noProof/>
        </w:rPr>
        <w:t xml:space="preserve"> conflict</w:t>
      </w:r>
      <w:r>
        <w:rPr>
          <w:noProof/>
        </w:rPr>
        <w:t>s</w:t>
      </w:r>
      <w:r w:rsidRPr="001B032C">
        <w:rPr>
          <w:noProof/>
        </w:rPr>
        <w:t xml:space="preserve"> of interest (9), asset disclosure (9) and </w:t>
      </w:r>
      <w:r>
        <w:rPr>
          <w:noProof/>
        </w:rPr>
        <w:t xml:space="preserve">general </w:t>
      </w:r>
      <w:r w:rsidRPr="001B032C">
        <w:rPr>
          <w:noProof/>
        </w:rPr>
        <w:t>anti-corruption</w:t>
      </w:r>
      <w:r>
        <w:rPr>
          <w:noProof/>
        </w:rPr>
        <w:t xml:space="preserve"> policy</w:t>
      </w:r>
      <w:r w:rsidRPr="001B032C">
        <w:rPr>
          <w:noProof/>
        </w:rPr>
        <w:t xml:space="preserve"> (9). Also notable is the number of commitments that s</w:t>
      </w:r>
      <w:r>
        <w:rPr>
          <w:noProof/>
        </w:rPr>
        <w:t>eek</w:t>
      </w:r>
      <w:r w:rsidRPr="001B032C">
        <w:rPr>
          <w:noProof/>
        </w:rPr>
        <w:t xml:space="preserve"> to build capacities or systems to tackle bureaucratic corruption. This is particularly true </w:t>
      </w:r>
      <w:r>
        <w:rPr>
          <w:noProof/>
        </w:rPr>
        <w:t>in</w:t>
      </w:r>
      <w:r w:rsidRPr="001B032C">
        <w:rPr>
          <w:noProof/>
        </w:rPr>
        <w:t xml:space="preserve"> the case of conflict of interest (10) and general anti-corruption (13) commitments. The anti-corruption capacity and systems building commitments included establishing a unit/commission or a system to monitor effective implementation of anti-corruption policies and training of public officials.</w:t>
      </w:r>
      <w:r>
        <w:rPr>
          <w:noProof/>
        </w:rPr>
        <w:t xml:space="preserve"> In contrast p</w:t>
      </w:r>
      <w:r w:rsidRPr="001B032C">
        <w:rPr>
          <w:noProof/>
        </w:rPr>
        <w:t>olitical corruption</w:t>
      </w:r>
      <w:r>
        <w:rPr>
          <w:noProof/>
        </w:rPr>
        <w:t xml:space="preserve"> </w:t>
      </w:r>
      <w:r w:rsidRPr="001B032C">
        <w:rPr>
          <w:noProof/>
        </w:rPr>
        <w:t>commitments</w:t>
      </w:r>
      <w:r>
        <w:rPr>
          <w:noProof/>
        </w:rPr>
        <w:t>, as well as those addressing prviate sector and cross border corruption</w:t>
      </w:r>
      <w:r w:rsidRPr="001B032C">
        <w:rPr>
          <w:noProof/>
        </w:rPr>
        <w:t xml:space="preserve"> are comparatively less prominent. </w:t>
      </w:r>
    </w:p>
    <w:p w14:paraId="7A5283DF" w14:textId="77777777" w:rsidR="009D0CF7" w:rsidRPr="00804E0E" w:rsidRDefault="009D0CF7" w:rsidP="009D0CF7">
      <w:pPr>
        <w:tabs>
          <w:tab w:val="left" w:pos="990"/>
        </w:tabs>
        <w:rPr>
          <w:noProof/>
        </w:rPr>
      </w:pPr>
      <w:r>
        <w:rPr>
          <w:noProof/>
        </w:rPr>
        <w:t>A key challenge in reviewing exisiting commitments, given the available information, is ascertaining the extent to which they represent a relatively high level of ambition (e.g. seek to enforce rules rather than put forward new rules/policies). For example, it is not clear to what extent commitments relating to asset declarations include procedure</w:t>
      </w:r>
      <w:r w:rsidR="006F2E4C">
        <w:rPr>
          <w:noProof/>
        </w:rPr>
        <w:t>s for how the disclosed informa</w:t>
      </w:r>
      <w:r>
        <w:rPr>
          <w:noProof/>
        </w:rPr>
        <w:t>t</w:t>
      </w:r>
      <w:r w:rsidR="006F2E4C">
        <w:rPr>
          <w:noProof/>
        </w:rPr>
        <w:t>i</w:t>
      </w:r>
      <w:r>
        <w:rPr>
          <w:noProof/>
        </w:rPr>
        <w:t xml:space="preserve">on will be used and </w:t>
      </w:r>
      <w:r>
        <w:rPr>
          <w:noProof/>
        </w:rPr>
        <w:lastRenderedPageBreak/>
        <w:t xml:space="preserve">how non-compliance will be sanctioned. Further research is recommended to address this crucial question.    </w:t>
      </w:r>
      <w:r w:rsidRPr="00804E0E">
        <w:rPr>
          <w:noProof/>
        </w:rPr>
        <w:tab/>
      </w:r>
    </w:p>
    <w:p w14:paraId="4A99ED29" w14:textId="77777777" w:rsidR="00677132" w:rsidRPr="004C7FA8" w:rsidRDefault="00677132" w:rsidP="00677132">
      <w:pPr>
        <w:pStyle w:val="Heading2"/>
        <w:rPr>
          <w:noProof/>
        </w:rPr>
      </w:pPr>
      <w:r w:rsidRPr="004C7FA8">
        <w:rPr>
          <w:noProof/>
        </w:rPr>
        <w:t xml:space="preserve">A typology of anti-corruption commitments </w:t>
      </w:r>
    </w:p>
    <w:p w14:paraId="0E2C0E25" w14:textId="77777777" w:rsidR="00EE4A95" w:rsidRDefault="0096531F" w:rsidP="006F2E4C">
      <w:pPr>
        <w:rPr>
          <w:lang w:val="en-GB"/>
        </w:rPr>
      </w:pPr>
      <w:r>
        <w:rPr>
          <w:noProof/>
        </w:rPr>
        <w:t>The following typo</w:t>
      </w:r>
      <w:r w:rsidR="00657DA5">
        <w:rPr>
          <w:noProof/>
        </w:rPr>
        <w:t>logy of commitments takes as a starting point</w:t>
      </w:r>
      <w:r w:rsidR="00677132">
        <w:rPr>
          <w:noProof/>
        </w:rPr>
        <w:t xml:space="preserve"> </w:t>
      </w:r>
      <w:r w:rsidR="00657DA5">
        <w:rPr>
          <w:noProof/>
        </w:rPr>
        <w:t>the OGP’</w:t>
      </w:r>
      <w:r w:rsidR="00E05735">
        <w:rPr>
          <w:noProof/>
        </w:rPr>
        <w:t>s own classifica</w:t>
      </w:r>
      <w:r w:rsidR="00657DA5">
        <w:rPr>
          <w:noProof/>
        </w:rPr>
        <w:t>t</w:t>
      </w:r>
      <w:r w:rsidR="00E05735">
        <w:rPr>
          <w:noProof/>
        </w:rPr>
        <w:t>i</w:t>
      </w:r>
      <w:r w:rsidR="00657DA5">
        <w:rPr>
          <w:noProof/>
        </w:rPr>
        <w:t>on of public integ</w:t>
      </w:r>
      <w:r w:rsidR="009D23D5">
        <w:rPr>
          <w:noProof/>
        </w:rPr>
        <w:t>ri</w:t>
      </w:r>
      <w:r w:rsidR="00657DA5">
        <w:rPr>
          <w:noProof/>
        </w:rPr>
        <w:t>ty measures</w:t>
      </w:r>
      <w:r w:rsidR="00677132">
        <w:rPr>
          <w:noProof/>
        </w:rPr>
        <w:t xml:space="preserve"> </w:t>
      </w:r>
      <w:r w:rsidR="00657DA5">
        <w:rPr>
          <w:noProof/>
        </w:rPr>
        <w:t xml:space="preserve">which includes the following areas:  </w:t>
      </w:r>
      <w:r w:rsidR="00657DA5" w:rsidRPr="004C7FA8">
        <w:rPr>
          <w:noProof/>
        </w:rPr>
        <w:t>anti-corruption, conflict of interest, asset disclosure, audits and control, and whistleblower protection.</w:t>
      </w:r>
      <w:r>
        <w:rPr>
          <w:noProof/>
        </w:rPr>
        <w:t xml:space="preserve"> </w:t>
      </w:r>
      <w:r w:rsidR="006F2E4C">
        <w:rPr>
          <w:noProof/>
        </w:rPr>
        <w:t xml:space="preserve">Drawing on the existing anti-corruption policy literature, it then to </w:t>
      </w:r>
      <w:r w:rsidR="009D0CF7">
        <w:rPr>
          <w:noProof/>
        </w:rPr>
        <w:t xml:space="preserve">expands on this classification to identify a broader set of actions that can be used to </w:t>
      </w:r>
      <w:r w:rsidR="00D233CA">
        <w:rPr>
          <w:noProof/>
        </w:rPr>
        <w:t>develop</w:t>
      </w:r>
      <w:r w:rsidR="009D0CF7">
        <w:rPr>
          <w:noProof/>
        </w:rPr>
        <w:t xml:space="preserve"> an ambitious anti-corruption commitments agenda</w:t>
      </w:r>
      <w:bookmarkStart w:id="1" w:name="_Toc221345513"/>
      <w:r w:rsidR="006F2E4C">
        <w:rPr>
          <w:noProof/>
        </w:rPr>
        <w:t>.</w:t>
      </w:r>
      <w:r>
        <w:rPr>
          <w:noProof/>
        </w:rPr>
        <w:t xml:space="preserve"> The typology </w:t>
      </w:r>
      <w:r w:rsidR="006F2E4C">
        <w:rPr>
          <w:noProof/>
        </w:rPr>
        <w:t>is broken down as follows</w:t>
      </w:r>
      <w:r w:rsidR="002F02D9" w:rsidRPr="002F02D9">
        <w:rPr>
          <w:noProof/>
          <w:lang w:val="en-GB"/>
        </w:rPr>
        <w:t xml:space="preserve">: </w:t>
      </w:r>
      <w:r w:rsidR="006F2E4C">
        <w:rPr>
          <w:noProof/>
          <w:lang w:val="en-GB"/>
        </w:rPr>
        <w:t>(a) anti-corruption framework, (b) bureaucratic corruption, (c) political corruption, (d</w:t>
      </w:r>
      <w:r w:rsidR="002F02D9" w:rsidRPr="002F02D9">
        <w:rPr>
          <w:noProof/>
          <w:lang w:val="en-GB"/>
        </w:rPr>
        <w:t>) private sector corruption, (</w:t>
      </w:r>
      <w:r w:rsidR="006F2E4C">
        <w:rPr>
          <w:noProof/>
          <w:lang w:val="en-GB"/>
        </w:rPr>
        <w:t>e</w:t>
      </w:r>
      <w:r w:rsidR="002F02D9" w:rsidRPr="002F02D9">
        <w:rPr>
          <w:noProof/>
          <w:lang w:val="en-GB"/>
        </w:rPr>
        <w:t>) cross-border corruptio</w:t>
      </w:r>
      <w:r w:rsidR="006F2E4C">
        <w:rPr>
          <w:noProof/>
          <w:lang w:val="en-GB"/>
        </w:rPr>
        <w:t>n, (f</w:t>
      </w:r>
      <w:r>
        <w:rPr>
          <w:noProof/>
          <w:lang w:val="en-GB"/>
        </w:rPr>
        <w:t xml:space="preserve">) </w:t>
      </w:r>
      <w:r w:rsidR="0086257B">
        <w:rPr>
          <w:noProof/>
          <w:lang w:val="en-GB"/>
        </w:rPr>
        <w:t xml:space="preserve">law </w:t>
      </w:r>
      <w:r w:rsidR="008C1A16">
        <w:rPr>
          <w:noProof/>
          <w:lang w:val="en-GB"/>
        </w:rPr>
        <w:t>enforcement</w:t>
      </w:r>
      <w:r>
        <w:rPr>
          <w:noProof/>
          <w:lang w:val="en-GB"/>
        </w:rPr>
        <w:t>.</w:t>
      </w:r>
      <w:r w:rsidR="00277EF9">
        <w:rPr>
          <w:noProof/>
          <w:lang w:val="en-GB"/>
        </w:rPr>
        <w:t xml:space="preserve"> </w:t>
      </w:r>
      <w:r w:rsidR="001B032C">
        <w:rPr>
          <w:noProof/>
          <w:lang w:val="en-GB"/>
        </w:rPr>
        <w:t xml:space="preserve">The </w:t>
      </w:r>
      <w:r w:rsidR="007A2682">
        <w:rPr>
          <w:noProof/>
          <w:lang w:val="en-GB"/>
        </w:rPr>
        <w:t xml:space="preserve">table </w:t>
      </w:r>
      <w:r w:rsidR="00277EF9">
        <w:rPr>
          <w:noProof/>
          <w:lang w:val="en-GB"/>
        </w:rPr>
        <w:t xml:space="preserve">also </w:t>
      </w:r>
      <w:r w:rsidR="007A2682">
        <w:rPr>
          <w:noProof/>
          <w:lang w:val="en-GB"/>
        </w:rPr>
        <w:t xml:space="preserve">identifies the extent to which each type of commitment is </w:t>
      </w:r>
      <w:r w:rsidR="001B032C">
        <w:rPr>
          <w:noProof/>
          <w:lang w:val="en-GB"/>
        </w:rPr>
        <w:t>currently</w:t>
      </w:r>
      <w:r w:rsidR="007A2682">
        <w:rPr>
          <w:noProof/>
          <w:lang w:val="en-GB"/>
        </w:rPr>
        <w:t xml:space="preserve"> </w:t>
      </w:r>
      <w:r w:rsidR="001B032C">
        <w:rPr>
          <w:noProof/>
          <w:lang w:val="en-GB"/>
        </w:rPr>
        <w:t>covered</w:t>
      </w:r>
      <w:r w:rsidR="007A2682">
        <w:rPr>
          <w:noProof/>
          <w:lang w:val="en-GB"/>
        </w:rPr>
        <w:t xml:space="preserve"> under exisiting OGP </w:t>
      </w:r>
      <w:r w:rsidR="001B032C">
        <w:rPr>
          <w:noProof/>
          <w:lang w:val="en-GB"/>
        </w:rPr>
        <w:t>action plans</w:t>
      </w:r>
      <w:r w:rsidR="00805110">
        <w:rPr>
          <w:noProof/>
          <w:lang w:val="en-GB"/>
        </w:rPr>
        <w:t xml:space="preserve"> across all countries</w:t>
      </w:r>
      <w:r w:rsidR="007A2682">
        <w:rPr>
          <w:noProof/>
          <w:lang w:val="en-GB"/>
        </w:rPr>
        <w:t>.</w:t>
      </w:r>
      <w:r w:rsidR="006F2E4C">
        <w:rPr>
          <w:noProof/>
          <w:lang w:val="en-GB"/>
        </w:rPr>
        <w:br/>
      </w:r>
    </w:p>
    <w:p w14:paraId="4B276986" w14:textId="77777777" w:rsidR="00E05735" w:rsidRDefault="008A2733" w:rsidP="008A2733">
      <w:pPr>
        <w:pStyle w:val="Table1-blackheader"/>
        <w:rPr>
          <w:lang w:val="en-GB"/>
        </w:rPr>
      </w:pPr>
      <w:r>
        <w:rPr>
          <w:lang w:val="en-GB"/>
        </w:rPr>
        <w:t>Tab</w:t>
      </w:r>
      <w:r w:rsidRPr="008A2733">
        <w:rPr>
          <w:lang w:val="en-GB"/>
        </w:rPr>
        <w:t>l</w:t>
      </w:r>
      <w:r>
        <w:rPr>
          <w:lang w:val="en-GB"/>
        </w:rPr>
        <w:t>e</w:t>
      </w:r>
      <w:r w:rsidRPr="008A2733">
        <w:rPr>
          <w:lang w:val="en-GB"/>
        </w:rPr>
        <w:t xml:space="preserve">: </w:t>
      </w:r>
      <w:r>
        <w:rPr>
          <w:lang w:val="en-GB"/>
        </w:rPr>
        <w:t>A t</w:t>
      </w:r>
      <w:r w:rsidRPr="008A2733">
        <w:rPr>
          <w:lang w:val="en-GB"/>
        </w:rPr>
        <w:t>ypology of anti-corruption commitments</w:t>
      </w:r>
      <w:r w:rsidR="00EE4A95">
        <w:rPr>
          <w:lang w:val="en-GB"/>
        </w:rPr>
        <w:br/>
      </w:r>
    </w:p>
    <w:tbl>
      <w:tblPr>
        <w:tblW w:w="9498" w:type="dxa"/>
        <w:tblInd w:w="-520" w:type="dxa"/>
        <w:tblBorders>
          <w:top w:val="single" w:sz="8" w:space="0" w:color="FDFCFB"/>
          <w:left w:val="single" w:sz="8" w:space="0" w:color="FDFCFB"/>
          <w:bottom w:val="single" w:sz="8" w:space="0" w:color="FDFCFB"/>
          <w:right w:val="single" w:sz="8" w:space="0" w:color="FDFCFB"/>
          <w:insideH w:val="single" w:sz="8" w:space="0" w:color="FDFCFB"/>
          <w:insideV w:val="single" w:sz="8" w:space="0" w:color="FDFCFB"/>
        </w:tblBorders>
        <w:tblLook w:val="00A0" w:firstRow="1" w:lastRow="0" w:firstColumn="1" w:lastColumn="0" w:noHBand="0" w:noVBand="0"/>
      </w:tblPr>
      <w:tblGrid>
        <w:gridCol w:w="1504"/>
        <w:gridCol w:w="6583"/>
        <w:gridCol w:w="1411"/>
      </w:tblGrid>
      <w:tr w:rsidR="002F02D9" w:rsidRPr="00124FD5" w14:paraId="08428A08" w14:textId="77777777" w:rsidTr="00B37170">
        <w:trPr>
          <w:trHeight w:val="570"/>
        </w:trPr>
        <w:tc>
          <w:tcPr>
            <w:tcW w:w="1504" w:type="dxa"/>
            <w:tcBorders>
              <w:top w:val="single" w:sz="8" w:space="0" w:color="009FEE"/>
              <w:left w:val="single" w:sz="8" w:space="0" w:color="009FEE"/>
              <w:bottom w:val="single" w:sz="8" w:space="0" w:color="009FEE"/>
              <w:right w:val="single" w:sz="8" w:space="0" w:color="009FEE"/>
            </w:tcBorders>
            <w:shd w:val="clear" w:color="auto" w:fill="009FEE"/>
            <w:vAlign w:val="center"/>
          </w:tcPr>
          <w:p w14:paraId="4208097B" w14:textId="77777777" w:rsidR="002F02D9" w:rsidRPr="00124FD5" w:rsidRDefault="002F02D9" w:rsidP="00317D70">
            <w:pPr>
              <w:pStyle w:val="TableHeadings"/>
              <w:spacing w:after="0"/>
              <w:rPr>
                <w:b/>
              </w:rPr>
            </w:pPr>
            <w:r>
              <w:rPr>
                <w:b/>
              </w:rPr>
              <w:t>AREA</w:t>
            </w:r>
            <w:r w:rsidR="006F2E4C">
              <w:rPr>
                <w:b/>
              </w:rPr>
              <w:t xml:space="preserve"> addressed</w:t>
            </w:r>
          </w:p>
        </w:tc>
        <w:tc>
          <w:tcPr>
            <w:tcW w:w="6583" w:type="dxa"/>
            <w:tcBorders>
              <w:top w:val="single" w:sz="8" w:space="0" w:color="009FEE"/>
              <w:left w:val="single" w:sz="8" w:space="0" w:color="009FEE"/>
              <w:bottom w:val="single" w:sz="8" w:space="0" w:color="009FEE"/>
              <w:right w:val="single" w:sz="8" w:space="0" w:color="009FEE"/>
            </w:tcBorders>
            <w:shd w:val="clear" w:color="auto" w:fill="009FEE"/>
            <w:vAlign w:val="center"/>
          </w:tcPr>
          <w:p w14:paraId="49607851" w14:textId="77777777" w:rsidR="002F02D9" w:rsidRPr="00124FD5" w:rsidRDefault="002F02D9" w:rsidP="00317D70">
            <w:pPr>
              <w:pStyle w:val="TableHeadings"/>
              <w:spacing w:after="0"/>
              <w:rPr>
                <w:b/>
              </w:rPr>
            </w:pPr>
            <w:r>
              <w:rPr>
                <w:b/>
              </w:rPr>
              <w:t>types of commitment</w:t>
            </w:r>
          </w:p>
        </w:tc>
        <w:tc>
          <w:tcPr>
            <w:tcW w:w="1411" w:type="dxa"/>
            <w:tcBorders>
              <w:top w:val="single" w:sz="8" w:space="0" w:color="009FEE"/>
              <w:left w:val="single" w:sz="8" w:space="0" w:color="009FEE"/>
              <w:bottom w:val="single" w:sz="8" w:space="0" w:color="009FEE"/>
              <w:right w:val="single" w:sz="8" w:space="0" w:color="009FEE"/>
            </w:tcBorders>
            <w:shd w:val="clear" w:color="auto" w:fill="009FEE"/>
            <w:vAlign w:val="center"/>
          </w:tcPr>
          <w:p w14:paraId="14F4A3F4" w14:textId="77777777" w:rsidR="002F02D9" w:rsidRPr="00124FD5" w:rsidRDefault="002F02D9" w:rsidP="00317D70">
            <w:pPr>
              <w:pStyle w:val="TableHeadings"/>
              <w:spacing w:after="0"/>
              <w:rPr>
                <w:b/>
              </w:rPr>
            </w:pPr>
            <w:r>
              <w:rPr>
                <w:b/>
              </w:rPr>
              <w:t>coverage in exisiting OGP action plans</w:t>
            </w:r>
          </w:p>
        </w:tc>
      </w:tr>
      <w:tr w:rsidR="007A2682" w:rsidRPr="001B032C" w14:paraId="07EB4EA0" w14:textId="77777777" w:rsidTr="00B37170">
        <w:trPr>
          <w:trHeight w:val="442"/>
        </w:trPr>
        <w:tc>
          <w:tcPr>
            <w:tcW w:w="9498" w:type="dxa"/>
            <w:gridSpan w:val="3"/>
            <w:tcBorders>
              <w:top w:val="single" w:sz="8" w:space="0" w:color="009FEE"/>
              <w:left w:val="single" w:sz="8" w:space="0" w:color="FFFFFF" w:themeColor="background1"/>
              <w:bottom w:val="single" w:sz="8" w:space="0" w:color="009FEE"/>
              <w:right w:val="single" w:sz="8" w:space="0" w:color="FFFFFF" w:themeColor="background1"/>
            </w:tcBorders>
            <w:shd w:val="clear" w:color="auto" w:fill="FFFFFF" w:themeFill="background1"/>
            <w:vAlign w:val="center"/>
          </w:tcPr>
          <w:p w14:paraId="7BB605D5" w14:textId="77777777" w:rsidR="001B032C" w:rsidRDefault="001B032C" w:rsidP="007A2682">
            <w:pPr>
              <w:spacing w:after="0"/>
              <w:jc w:val="right"/>
              <w:rPr>
                <w:i/>
                <w:noProof/>
                <w:color w:val="auto"/>
              </w:rPr>
            </w:pPr>
          </w:p>
          <w:p w14:paraId="110AADAC" w14:textId="77777777" w:rsidR="007A2682" w:rsidRDefault="007A2682" w:rsidP="007A2682">
            <w:pPr>
              <w:spacing w:after="0"/>
              <w:jc w:val="right"/>
              <w:rPr>
                <w:i/>
                <w:noProof/>
                <w:color w:val="auto"/>
              </w:rPr>
            </w:pPr>
            <w:r w:rsidRPr="001B032C">
              <w:rPr>
                <w:i/>
                <w:noProof/>
                <w:color w:val="auto"/>
              </w:rPr>
              <w:t>Key: ** = 5 or more commitments; * = 1-5 commitments; no stars = 0 commitments</w:t>
            </w:r>
          </w:p>
          <w:p w14:paraId="61B56B89" w14:textId="77777777" w:rsidR="001B032C" w:rsidRPr="001B032C" w:rsidRDefault="001B032C" w:rsidP="007A2682">
            <w:pPr>
              <w:spacing w:after="0"/>
              <w:jc w:val="right"/>
              <w:rPr>
                <w:i/>
                <w:noProof/>
                <w:color w:val="auto"/>
              </w:rPr>
            </w:pPr>
          </w:p>
        </w:tc>
      </w:tr>
      <w:tr w:rsidR="0096531F" w:rsidRPr="00124FD5" w14:paraId="17602410" w14:textId="77777777" w:rsidTr="00B37170">
        <w:trPr>
          <w:trHeight w:val="442"/>
        </w:trPr>
        <w:tc>
          <w:tcPr>
            <w:tcW w:w="1504" w:type="dxa"/>
            <w:vMerge w:val="restart"/>
            <w:tcBorders>
              <w:top w:val="single" w:sz="8" w:space="0" w:color="009FEE"/>
              <w:left w:val="single" w:sz="8" w:space="0" w:color="FFFFFF" w:themeColor="background1"/>
              <w:bottom w:val="single" w:sz="6" w:space="0" w:color="BFBFBF" w:themeColor="background1" w:themeShade="BF"/>
              <w:right w:val="single" w:sz="8" w:space="0" w:color="FFFFFF" w:themeColor="background1"/>
            </w:tcBorders>
            <w:shd w:val="clear" w:color="auto" w:fill="F2F2F2" w:themeFill="background1" w:themeFillShade="F2"/>
            <w:vAlign w:val="center"/>
          </w:tcPr>
          <w:p w14:paraId="6933FA28" w14:textId="77777777" w:rsidR="0096531F" w:rsidRDefault="0096531F" w:rsidP="0096531F">
            <w:pPr>
              <w:spacing w:after="0"/>
              <w:rPr>
                <w:b/>
                <w:noProof/>
              </w:rPr>
            </w:pPr>
            <w:r>
              <w:rPr>
                <w:b/>
                <w:noProof/>
              </w:rPr>
              <w:t xml:space="preserve">Anti-Corruption </w:t>
            </w:r>
            <w:r w:rsidR="006319FF">
              <w:rPr>
                <w:b/>
                <w:noProof/>
              </w:rPr>
              <w:t>Framework</w:t>
            </w:r>
          </w:p>
        </w:tc>
        <w:tc>
          <w:tcPr>
            <w:tcW w:w="6583" w:type="dxa"/>
            <w:tcBorders>
              <w:top w:val="single" w:sz="8" w:space="0" w:color="009FEE"/>
              <w:left w:val="single" w:sz="8" w:space="0" w:color="FFFFFF" w:themeColor="background1"/>
              <w:bottom w:val="single" w:sz="6" w:space="0" w:color="BFBFBF" w:themeColor="background1" w:themeShade="BF"/>
              <w:right w:val="single" w:sz="8" w:space="0" w:color="FFFFFF" w:themeColor="background1"/>
            </w:tcBorders>
            <w:shd w:val="clear" w:color="auto" w:fill="F2F2F2" w:themeFill="background1" w:themeFillShade="F2"/>
          </w:tcPr>
          <w:p w14:paraId="0A10CCEA" w14:textId="77777777" w:rsidR="0096531F" w:rsidRPr="00353FF8" w:rsidRDefault="0096531F" w:rsidP="0096531F">
            <w:r w:rsidRPr="00353FF8">
              <w:t>Developing anti-corruption strategies, policies and risk assessments</w:t>
            </w:r>
          </w:p>
        </w:tc>
        <w:tc>
          <w:tcPr>
            <w:tcW w:w="1411" w:type="dxa"/>
            <w:tcBorders>
              <w:top w:val="single" w:sz="8" w:space="0" w:color="009FEE"/>
              <w:left w:val="single" w:sz="8" w:space="0" w:color="FFFFFF" w:themeColor="background1"/>
              <w:bottom w:val="single" w:sz="6" w:space="0" w:color="BFBFBF" w:themeColor="background1" w:themeShade="BF"/>
              <w:right w:val="single" w:sz="8" w:space="0" w:color="FFFFFF" w:themeColor="background1"/>
            </w:tcBorders>
            <w:shd w:val="clear" w:color="auto" w:fill="F2F2F2" w:themeFill="background1" w:themeFillShade="F2"/>
            <w:vAlign w:val="center"/>
          </w:tcPr>
          <w:p w14:paraId="4191F491" w14:textId="77777777" w:rsidR="0096531F" w:rsidRPr="00124FD5" w:rsidRDefault="0096531F" w:rsidP="0096531F">
            <w:pPr>
              <w:spacing w:after="0"/>
              <w:rPr>
                <w:b/>
                <w:noProof/>
              </w:rPr>
            </w:pPr>
            <w:r>
              <w:rPr>
                <w:b/>
                <w:noProof/>
              </w:rPr>
              <w:t>**</w:t>
            </w:r>
          </w:p>
        </w:tc>
      </w:tr>
      <w:tr w:rsidR="0096531F" w:rsidRPr="00124FD5" w14:paraId="0D99E2BB" w14:textId="77777777" w:rsidTr="00B37170">
        <w:trPr>
          <w:trHeight w:val="442"/>
        </w:trPr>
        <w:tc>
          <w:tcPr>
            <w:tcW w:w="1504" w:type="dxa"/>
            <w:vMerge/>
            <w:tcBorders>
              <w:top w:val="single" w:sz="6" w:space="0" w:color="BFBFBF" w:themeColor="background1" w:themeShade="BF"/>
              <w:left w:val="single" w:sz="8" w:space="0" w:color="FFFFFF" w:themeColor="background1"/>
              <w:bottom w:val="single" w:sz="6" w:space="0" w:color="BFBFBF" w:themeColor="background1" w:themeShade="BF"/>
              <w:right w:val="single" w:sz="8" w:space="0" w:color="FFFFFF" w:themeColor="background1"/>
            </w:tcBorders>
            <w:shd w:val="clear" w:color="auto" w:fill="F2F2F2" w:themeFill="background1" w:themeFillShade="F2"/>
            <w:vAlign w:val="center"/>
          </w:tcPr>
          <w:p w14:paraId="5E5434EE" w14:textId="77777777" w:rsidR="0096531F" w:rsidRDefault="0096531F" w:rsidP="0096531F">
            <w:pPr>
              <w:spacing w:after="0"/>
              <w:rPr>
                <w:b/>
                <w:noProof/>
              </w:rPr>
            </w:pPr>
          </w:p>
        </w:tc>
        <w:tc>
          <w:tcPr>
            <w:tcW w:w="6583" w:type="dxa"/>
            <w:tcBorders>
              <w:top w:val="single" w:sz="6" w:space="0" w:color="BFBFBF" w:themeColor="background1" w:themeShade="BF"/>
              <w:left w:val="single" w:sz="8" w:space="0" w:color="FFFFFF" w:themeColor="background1"/>
              <w:bottom w:val="single" w:sz="6" w:space="0" w:color="BFBFBF" w:themeColor="background1" w:themeShade="BF"/>
              <w:right w:val="single" w:sz="8" w:space="0" w:color="FFFFFF" w:themeColor="background1"/>
            </w:tcBorders>
            <w:shd w:val="clear" w:color="auto" w:fill="F2F2F2" w:themeFill="background1" w:themeFillShade="F2"/>
          </w:tcPr>
          <w:p w14:paraId="5F7F745D" w14:textId="77777777" w:rsidR="0096531F" w:rsidRPr="00353FF8" w:rsidRDefault="0096531F" w:rsidP="0096531F">
            <w:r w:rsidRPr="00353FF8">
              <w:t xml:space="preserve">Strengthening institutional capacity for prevention and investigation </w:t>
            </w:r>
          </w:p>
        </w:tc>
        <w:tc>
          <w:tcPr>
            <w:tcW w:w="1411" w:type="dxa"/>
            <w:tcBorders>
              <w:top w:val="single" w:sz="6" w:space="0" w:color="BFBFBF" w:themeColor="background1" w:themeShade="BF"/>
              <w:left w:val="single" w:sz="8" w:space="0" w:color="FFFFFF" w:themeColor="background1"/>
              <w:bottom w:val="single" w:sz="6" w:space="0" w:color="BFBFBF" w:themeColor="background1" w:themeShade="BF"/>
              <w:right w:val="single" w:sz="8" w:space="0" w:color="FFFFFF" w:themeColor="background1"/>
            </w:tcBorders>
            <w:shd w:val="clear" w:color="auto" w:fill="F2F2F2" w:themeFill="background1" w:themeFillShade="F2"/>
            <w:vAlign w:val="center"/>
          </w:tcPr>
          <w:p w14:paraId="379FEED3" w14:textId="77777777" w:rsidR="0096531F" w:rsidRPr="00124FD5" w:rsidRDefault="0096531F" w:rsidP="0096531F">
            <w:pPr>
              <w:spacing w:after="0"/>
              <w:rPr>
                <w:b/>
                <w:noProof/>
              </w:rPr>
            </w:pPr>
            <w:r>
              <w:rPr>
                <w:b/>
                <w:noProof/>
              </w:rPr>
              <w:t>**</w:t>
            </w:r>
          </w:p>
        </w:tc>
      </w:tr>
      <w:tr w:rsidR="0096531F" w:rsidRPr="00124FD5" w14:paraId="7810A0B4" w14:textId="77777777" w:rsidTr="00B37170">
        <w:trPr>
          <w:trHeight w:val="442"/>
        </w:trPr>
        <w:tc>
          <w:tcPr>
            <w:tcW w:w="1504" w:type="dxa"/>
            <w:vMerge/>
            <w:tcBorders>
              <w:top w:val="single" w:sz="6" w:space="0" w:color="BFBFBF" w:themeColor="background1" w:themeShade="BF"/>
              <w:left w:val="single" w:sz="8" w:space="0" w:color="FFFFFF" w:themeColor="background1"/>
              <w:bottom w:val="single" w:sz="6" w:space="0" w:color="D9D9D9" w:themeColor="background1" w:themeShade="D9"/>
              <w:right w:val="single" w:sz="8" w:space="0" w:color="FFFFFF" w:themeColor="background1"/>
            </w:tcBorders>
            <w:shd w:val="clear" w:color="auto" w:fill="F2F2F2" w:themeFill="background1" w:themeFillShade="F2"/>
            <w:vAlign w:val="center"/>
          </w:tcPr>
          <w:p w14:paraId="639BDDBF" w14:textId="77777777" w:rsidR="0096531F" w:rsidRDefault="0096531F" w:rsidP="0096531F">
            <w:pPr>
              <w:spacing w:after="0"/>
              <w:rPr>
                <w:b/>
                <w:noProof/>
              </w:rPr>
            </w:pPr>
          </w:p>
        </w:tc>
        <w:tc>
          <w:tcPr>
            <w:tcW w:w="6583" w:type="dxa"/>
            <w:tcBorders>
              <w:top w:val="single" w:sz="6" w:space="0" w:color="BFBFBF" w:themeColor="background1" w:themeShade="BF"/>
              <w:left w:val="single" w:sz="8" w:space="0" w:color="FFFFFF" w:themeColor="background1"/>
              <w:bottom w:val="single" w:sz="6" w:space="0" w:color="D9D9D9" w:themeColor="background1" w:themeShade="D9"/>
              <w:right w:val="single" w:sz="8" w:space="0" w:color="FFFFFF" w:themeColor="background1"/>
            </w:tcBorders>
            <w:shd w:val="clear" w:color="auto" w:fill="F2F2F2" w:themeFill="background1" w:themeFillShade="F2"/>
          </w:tcPr>
          <w:p w14:paraId="6D96E2F8" w14:textId="77777777" w:rsidR="0096531F" w:rsidRPr="00353FF8" w:rsidRDefault="0096531F" w:rsidP="0096531F">
            <w:r w:rsidRPr="00353FF8">
              <w:t>Implementing inter-institutional cooperation measures</w:t>
            </w:r>
          </w:p>
        </w:tc>
        <w:tc>
          <w:tcPr>
            <w:tcW w:w="1411" w:type="dxa"/>
            <w:tcBorders>
              <w:top w:val="single" w:sz="6" w:space="0" w:color="BFBFBF" w:themeColor="background1" w:themeShade="BF"/>
              <w:left w:val="single" w:sz="8" w:space="0" w:color="FFFFFF" w:themeColor="background1"/>
              <w:bottom w:val="single" w:sz="6" w:space="0" w:color="D9D9D9" w:themeColor="background1" w:themeShade="D9"/>
              <w:right w:val="single" w:sz="8" w:space="0" w:color="FFFFFF" w:themeColor="background1"/>
            </w:tcBorders>
            <w:shd w:val="clear" w:color="auto" w:fill="F2F2F2" w:themeFill="background1" w:themeFillShade="F2"/>
            <w:vAlign w:val="center"/>
          </w:tcPr>
          <w:p w14:paraId="508E243A" w14:textId="77777777" w:rsidR="0096531F" w:rsidRDefault="0096531F" w:rsidP="0096531F">
            <w:pPr>
              <w:spacing w:after="0"/>
              <w:rPr>
                <w:noProof/>
              </w:rPr>
            </w:pPr>
            <w:r>
              <w:rPr>
                <w:noProof/>
              </w:rPr>
              <w:t>*</w:t>
            </w:r>
          </w:p>
        </w:tc>
      </w:tr>
      <w:tr w:rsidR="0096531F" w:rsidRPr="00124FD5" w14:paraId="7B16CE8E" w14:textId="77777777" w:rsidTr="00B37170">
        <w:trPr>
          <w:trHeight w:val="442"/>
        </w:trPr>
        <w:tc>
          <w:tcPr>
            <w:tcW w:w="1504" w:type="dxa"/>
            <w:vMerge w:val="restart"/>
            <w:tcBorders>
              <w:top w:val="single" w:sz="6" w:space="0" w:color="D9D9D9" w:themeColor="background1" w:themeShade="D9"/>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30F21F37" w14:textId="77777777" w:rsidR="0096531F" w:rsidRPr="004D0DB6" w:rsidRDefault="0096531F" w:rsidP="00B37170">
            <w:pPr>
              <w:spacing w:after="0"/>
              <w:rPr>
                <w:b/>
                <w:noProof/>
              </w:rPr>
            </w:pPr>
            <w:r>
              <w:rPr>
                <w:b/>
                <w:noProof/>
              </w:rPr>
              <w:t>Bureaucratic corrupt</w:t>
            </w:r>
            <w:r w:rsidR="0086257B">
              <w:rPr>
                <w:b/>
                <w:noProof/>
              </w:rPr>
              <w:t>i</w:t>
            </w:r>
            <w:r>
              <w:rPr>
                <w:b/>
                <w:noProof/>
              </w:rPr>
              <w:t>on</w:t>
            </w:r>
          </w:p>
        </w:tc>
        <w:tc>
          <w:tcPr>
            <w:tcW w:w="6583" w:type="dxa"/>
            <w:tcBorders>
              <w:top w:val="single" w:sz="6" w:space="0" w:color="D9D9D9" w:themeColor="background1" w:themeShade="D9"/>
              <w:left w:val="single" w:sz="8" w:space="0" w:color="FFFFFF" w:themeColor="background1"/>
              <w:bottom w:val="single" w:sz="8" w:space="0" w:color="BFBFBF" w:themeColor="background1" w:themeShade="BF"/>
              <w:right w:val="nil"/>
            </w:tcBorders>
            <w:shd w:val="clear" w:color="auto" w:fill="F2F2F2" w:themeFill="background1" w:themeFillShade="F2"/>
          </w:tcPr>
          <w:p w14:paraId="53A44457" w14:textId="77777777" w:rsidR="0096531F" w:rsidRPr="00353FF8" w:rsidRDefault="0096531F" w:rsidP="0096531F">
            <w:r w:rsidRPr="00353FF8">
              <w:t>Training of public servants</w:t>
            </w:r>
          </w:p>
        </w:tc>
        <w:tc>
          <w:tcPr>
            <w:tcW w:w="1411" w:type="dxa"/>
            <w:tcBorders>
              <w:top w:val="single" w:sz="6" w:space="0" w:color="D9D9D9" w:themeColor="background1" w:themeShade="D9"/>
              <w:left w:val="nil"/>
              <w:bottom w:val="single" w:sz="8" w:space="0" w:color="BFBFBF" w:themeColor="background1" w:themeShade="BF"/>
              <w:right w:val="nil"/>
            </w:tcBorders>
            <w:shd w:val="clear" w:color="auto" w:fill="F2F2F2" w:themeFill="background1" w:themeFillShade="F2"/>
            <w:vAlign w:val="center"/>
          </w:tcPr>
          <w:p w14:paraId="5FDEA2C2" w14:textId="77777777" w:rsidR="0096531F" w:rsidRDefault="0096531F" w:rsidP="0096531F">
            <w:pPr>
              <w:spacing w:after="0"/>
              <w:rPr>
                <w:noProof/>
              </w:rPr>
            </w:pPr>
            <w:r>
              <w:rPr>
                <w:noProof/>
              </w:rPr>
              <w:t>*</w:t>
            </w:r>
          </w:p>
        </w:tc>
      </w:tr>
      <w:tr w:rsidR="0096531F" w:rsidRPr="00124FD5" w14:paraId="2B73586B"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34FF14DF"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38D08F72" w14:textId="77777777" w:rsidR="0096531F" w:rsidRPr="00353FF8" w:rsidRDefault="0096531F" w:rsidP="0096531F">
            <w:r>
              <w:t xml:space="preserve">Strengthening/enforcing </w:t>
            </w:r>
            <w:r w:rsidRPr="00353FF8">
              <w:t>codes of ethics</w:t>
            </w:r>
            <w:r>
              <w:t xml:space="preserve"> for public servants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341BD97D" w14:textId="77777777" w:rsidR="0096531F" w:rsidRDefault="0096531F" w:rsidP="0096531F">
            <w:pPr>
              <w:spacing w:after="0"/>
              <w:rPr>
                <w:noProof/>
              </w:rPr>
            </w:pPr>
            <w:r>
              <w:rPr>
                <w:noProof/>
              </w:rPr>
              <w:t>*</w:t>
            </w:r>
          </w:p>
        </w:tc>
      </w:tr>
      <w:tr w:rsidR="0096531F" w:rsidRPr="00124FD5" w14:paraId="47C5AA21"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0313C9B5"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292DC726" w14:textId="77777777" w:rsidR="0096531F" w:rsidRPr="00353FF8" w:rsidRDefault="0096531F" w:rsidP="0096531F">
            <w:r>
              <w:t>Strengthening/enforcing conflict</w:t>
            </w:r>
            <w:r w:rsidRPr="00353FF8">
              <w:t xml:space="preserve"> of interest and asset disclosure regulations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5C3DBE98" w14:textId="77777777" w:rsidR="0096531F" w:rsidRDefault="0096531F" w:rsidP="0096531F">
            <w:pPr>
              <w:spacing w:after="0"/>
              <w:rPr>
                <w:noProof/>
              </w:rPr>
            </w:pPr>
            <w:r>
              <w:rPr>
                <w:noProof/>
              </w:rPr>
              <w:t>**</w:t>
            </w:r>
          </w:p>
        </w:tc>
      </w:tr>
      <w:tr w:rsidR="0096531F" w:rsidRPr="00124FD5" w14:paraId="200B3913"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051C96D3"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34D2C02B" w14:textId="77777777" w:rsidR="0096531F" w:rsidRPr="00353FF8" w:rsidRDefault="0096531F" w:rsidP="0096531F">
            <w:r w:rsidRPr="00353FF8">
              <w:t>Strengthening internal and external auditing</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14230F36" w14:textId="77777777" w:rsidR="0096531F" w:rsidRDefault="0096531F" w:rsidP="0096531F">
            <w:pPr>
              <w:spacing w:after="0"/>
              <w:rPr>
                <w:noProof/>
              </w:rPr>
            </w:pPr>
            <w:r>
              <w:rPr>
                <w:noProof/>
              </w:rPr>
              <w:t>**</w:t>
            </w:r>
          </w:p>
        </w:tc>
      </w:tr>
      <w:tr w:rsidR="0096531F" w:rsidRPr="00124FD5" w14:paraId="22654A92"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6999590E"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3AFA4F0B" w14:textId="77777777" w:rsidR="0096531F" w:rsidRPr="00353FF8" w:rsidRDefault="0096531F" w:rsidP="0096531F">
            <w:r>
              <w:t>S</w:t>
            </w:r>
            <w:r w:rsidRPr="00353FF8">
              <w:t>trengthening whistleblower protection measures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2FB7347C" w14:textId="77777777" w:rsidR="0096531F" w:rsidRDefault="0096531F" w:rsidP="0096531F">
            <w:pPr>
              <w:spacing w:after="0"/>
              <w:rPr>
                <w:noProof/>
              </w:rPr>
            </w:pPr>
            <w:r>
              <w:rPr>
                <w:noProof/>
              </w:rPr>
              <w:t>**</w:t>
            </w:r>
          </w:p>
        </w:tc>
      </w:tr>
      <w:tr w:rsidR="0096531F" w:rsidRPr="00124FD5" w14:paraId="2F88ED11"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22EA8E7E"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1B694E3E" w14:textId="77777777" w:rsidR="0096531F" w:rsidRPr="00353FF8" w:rsidRDefault="0096531F" w:rsidP="0096531F">
            <w:r w:rsidRPr="00353FF8">
              <w:t>Strengthening procurement regulations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31EB6B87" w14:textId="77777777" w:rsidR="0096531F" w:rsidRDefault="0096531F" w:rsidP="0096531F">
            <w:pPr>
              <w:spacing w:after="0"/>
              <w:rPr>
                <w:noProof/>
              </w:rPr>
            </w:pPr>
            <w:r>
              <w:rPr>
                <w:noProof/>
              </w:rPr>
              <w:t>*</w:t>
            </w:r>
          </w:p>
        </w:tc>
      </w:tr>
      <w:tr w:rsidR="0096531F" w:rsidRPr="00124FD5" w14:paraId="4B56C9B4"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F2F2F2" w:themeFill="background1" w:themeFillShade="F2"/>
            <w:vAlign w:val="center"/>
          </w:tcPr>
          <w:p w14:paraId="32FB628B"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71003F44" w14:textId="77777777" w:rsidR="0096531F" w:rsidRPr="00353FF8" w:rsidRDefault="0096531F" w:rsidP="0096531F">
            <w:r w:rsidRPr="00353FF8">
              <w:t>Strengthening customs and tax administration</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31880C90" w14:textId="77777777" w:rsidR="0096531F" w:rsidRDefault="0096531F" w:rsidP="0096531F">
            <w:pPr>
              <w:spacing w:after="0"/>
              <w:rPr>
                <w:noProof/>
              </w:rPr>
            </w:pPr>
            <w:r>
              <w:rPr>
                <w:noProof/>
              </w:rPr>
              <w:t>*</w:t>
            </w:r>
          </w:p>
        </w:tc>
      </w:tr>
      <w:tr w:rsidR="0096531F" w:rsidRPr="00124FD5" w14:paraId="661FFD52"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A6A6A6" w:themeFill="background1" w:themeFillShade="A6"/>
            <w:vAlign w:val="center"/>
          </w:tcPr>
          <w:p w14:paraId="5B84CC9D"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10AA9527" w14:textId="77777777" w:rsidR="0096531F" w:rsidRPr="00353FF8" w:rsidRDefault="0096531F" w:rsidP="0096531F">
            <w:r>
              <w:t>S</w:t>
            </w:r>
            <w:r w:rsidRPr="00353FF8">
              <w:t>trengthening communication &amp; public education measures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7B28C524" w14:textId="77777777" w:rsidR="0096531F" w:rsidRDefault="0096531F" w:rsidP="0096531F">
            <w:pPr>
              <w:spacing w:after="0"/>
              <w:rPr>
                <w:noProof/>
              </w:rPr>
            </w:pPr>
            <w:r>
              <w:rPr>
                <w:noProof/>
              </w:rPr>
              <w:t>*</w:t>
            </w:r>
          </w:p>
        </w:tc>
      </w:tr>
      <w:tr w:rsidR="0096531F" w:rsidRPr="00124FD5" w14:paraId="7BDEBC5D"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A6A6A6" w:themeFill="background1" w:themeFillShade="A6"/>
            <w:vAlign w:val="center"/>
          </w:tcPr>
          <w:p w14:paraId="74462DBE"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4355D500" w14:textId="77777777" w:rsidR="0096531F" w:rsidRPr="00353FF8" w:rsidRDefault="0096531F" w:rsidP="0096531F">
            <w:r w:rsidRPr="00353FF8">
              <w:t xml:space="preserve">Supporting social accountability and citizen oversight mechanisms </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4ED927F5" w14:textId="77777777" w:rsidR="0096531F" w:rsidRDefault="0096531F" w:rsidP="0096531F">
            <w:pPr>
              <w:spacing w:after="0"/>
              <w:rPr>
                <w:noProof/>
              </w:rPr>
            </w:pPr>
            <w:r>
              <w:rPr>
                <w:noProof/>
              </w:rPr>
              <w:t>*</w:t>
            </w:r>
          </w:p>
        </w:tc>
      </w:tr>
      <w:tr w:rsidR="0096531F" w:rsidRPr="00124FD5" w14:paraId="226BDF84" w14:textId="77777777" w:rsidTr="00B37170">
        <w:trPr>
          <w:trHeight w:val="442"/>
        </w:trPr>
        <w:tc>
          <w:tcPr>
            <w:tcW w:w="1504" w:type="dxa"/>
            <w:vMerge/>
            <w:tcBorders>
              <w:top w:val="single" w:sz="4" w:space="0" w:color="4F81BD" w:themeColor="accent1"/>
              <w:left w:val="single" w:sz="8" w:space="0" w:color="FFFFFF" w:themeColor="background1"/>
              <w:bottom w:val="single" w:sz="8" w:space="0" w:color="FDFCFB"/>
              <w:right w:val="single" w:sz="8" w:space="0" w:color="FFFFFF" w:themeColor="background1"/>
            </w:tcBorders>
            <w:shd w:val="clear" w:color="auto" w:fill="A6A6A6" w:themeFill="background1" w:themeFillShade="A6"/>
            <w:vAlign w:val="center"/>
          </w:tcPr>
          <w:p w14:paraId="2AED3E3D" w14:textId="77777777" w:rsidR="0096531F" w:rsidRPr="004D0DB6" w:rsidRDefault="0096531F" w:rsidP="0096531F">
            <w:pPr>
              <w:spacing w:after="0"/>
              <w:rPr>
                <w:b/>
                <w:noProof/>
              </w:rPr>
            </w:pPr>
          </w:p>
        </w:tc>
        <w:tc>
          <w:tcPr>
            <w:tcW w:w="6583" w:type="dxa"/>
            <w:tcBorders>
              <w:top w:val="single" w:sz="8" w:space="0" w:color="BFBFBF" w:themeColor="background1" w:themeShade="BF"/>
              <w:left w:val="single" w:sz="8" w:space="0" w:color="FFFFFF" w:themeColor="background1"/>
              <w:bottom w:val="single" w:sz="8" w:space="0" w:color="BFBFBF" w:themeColor="background1" w:themeShade="BF"/>
              <w:right w:val="nil"/>
            </w:tcBorders>
            <w:shd w:val="clear" w:color="auto" w:fill="F2F2F2" w:themeFill="background1" w:themeFillShade="F2"/>
          </w:tcPr>
          <w:p w14:paraId="6A7966C6" w14:textId="77777777" w:rsidR="0096531F" w:rsidRPr="00353FF8" w:rsidRDefault="0096531F" w:rsidP="0096531F">
            <w:r w:rsidRPr="00353FF8">
              <w:t>Developing anti-corruption hotlines/citizen complaints mechanisms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F2F2F2" w:themeFill="background1" w:themeFillShade="F2"/>
            <w:vAlign w:val="center"/>
          </w:tcPr>
          <w:p w14:paraId="4E68B81C" w14:textId="77777777" w:rsidR="0096531F" w:rsidRDefault="0096531F" w:rsidP="0096531F">
            <w:pPr>
              <w:spacing w:after="0"/>
              <w:rPr>
                <w:noProof/>
              </w:rPr>
            </w:pPr>
            <w:r>
              <w:rPr>
                <w:noProof/>
              </w:rPr>
              <w:t>*</w:t>
            </w:r>
          </w:p>
        </w:tc>
      </w:tr>
      <w:tr w:rsidR="0096531F" w:rsidRPr="00124FD5" w14:paraId="5F543001" w14:textId="77777777" w:rsidTr="00B37170">
        <w:trPr>
          <w:trHeight w:val="442"/>
        </w:trPr>
        <w:tc>
          <w:tcPr>
            <w:tcW w:w="1504" w:type="dxa"/>
            <w:vMerge w:val="restart"/>
            <w:tcBorders>
              <w:top w:val="single" w:sz="8" w:space="0" w:color="FDFCFB"/>
              <w:left w:val="nil"/>
              <w:right w:val="nil"/>
            </w:tcBorders>
            <w:shd w:val="clear" w:color="auto" w:fill="D9D9D9" w:themeFill="background1" w:themeFillShade="D9"/>
            <w:vAlign w:val="center"/>
          </w:tcPr>
          <w:p w14:paraId="1F6AA086" w14:textId="77777777" w:rsidR="0096531F" w:rsidRPr="004D0DB6" w:rsidRDefault="00BF3D26" w:rsidP="0096531F">
            <w:pPr>
              <w:spacing w:after="0"/>
              <w:rPr>
                <w:b/>
                <w:noProof/>
              </w:rPr>
            </w:pPr>
            <w:r>
              <w:rPr>
                <w:b/>
                <w:noProof/>
              </w:rPr>
              <w:lastRenderedPageBreak/>
              <w:t>P</w:t>
            </w:r>
            <w:r w:rsidR="0096531F" w:rsidRPr="004D0DB6">
              <w:rPr>
                <w:b/>
                <w:noProof/>
              </w:rPr>
              <w:t>olitical corruption</w:t>
            </w: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tcPr>
          <w:p w14:paraId="589CF8CA" w14:textId="77777777" w:rsidR="0096531F" w:rsidRPr="00353FF8" w:rsidRDefault="0096531F" w:rsidP="0096531F">
            <w:r>
              <w:t>Developing/</w:t>
            </w:r>
            <w:r w:rsidRPr="00353FF8">
              <w:t>enforcing lobbying regulations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vAlign w:val="center"/>
          </w:tcPr>
          <w:p w14:paraId="19013B7F" w14:textId="77777777" w:rsidR="0096531F" w:rsidRDefault="0096531F" w:rsidP="0096531F">
            <w:pPr>
              <w:spacing w:after="0"/>
              <w:rPr>
                <w:noProof/>
              </w:rPr>
            </w:pPr>
            <w:r>
              <w:rPr>
                <w:noProof/>
              </w:rPr>
              <w:t>*</w:t>
            </w:r>
          </w:p>
        </w:tc>
      </w:tr>
      <w:tr w:rsidR="0096531F" w:rsidRPr="00124FD5" w14:paraId="088CD672" w14:textId="77777777" w:rsidTr="00B37170">
        <w:trPr>
          <w:trHeight w:val="442"/>
        </w:trPr>
        <w:tc>
          <w:tcPr>
            <w:tcW w:w="1504" w:type="dxa"/>
            <w:vMerge/>
            <w:tcBorders>
              <w:left w:val="nil"/>
              <w:right w:val="nil"/>
            </w:tcBorders>
            <w:shd w:val="clear" w:color="auto" w:fill="D9D9D9" w:themeFill="background1" w:themeFillShade="D9"/>
            <w:vAlign w:val="center"/>
          </w:tcPr>
          <w:p w14:paraId="3BC29165"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tcPr>
          <w:p w14:paraId="3250B346" w14:textId="77777777" w:rsidR="0096531F" w:rsidRPr="00353FF8" w:rsidRDefault="0096531F" w:rsidP="0096531F">
            <w:r w:rsidRPr="00353FF8">
              <w:t>Developing</w:t>
            </w:r>
            <w:r>
              <w:t>/</w:t>
            </w:r>
            <w:r w:rsidRPr="00353FF8">
              <w:t>enforcing revolving doors regulations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vAlign w:val="center"/>
          </w:tcPr>
          <w:p w14:paraId="5CFA4744" w14:textId="77777777" w:rsidR="0096531F" w:rsidRDefault="0096531F" w:rsidP="0096531F">
            <w:pPr>
              <w:spacing w:after="0"/>
              <w:rPr>
                <w:noProof/>
              </w:rPr>
            </w:pPr>
            <w:r>
              <w:rPr>
                <w:noProof/>
              </w:rPr>
              <w:t>*</w:t>
            </w:r>
          </w:p>
        </w:tc>
      </w:tr>
      <w:tr w:rsidR="0096531F" w:rsidRPr="00124FD5" w14:paraId="13A3AA9C" w14:textId="77777777" w:rsidTr="00B37170">
        <w:trPr>
          <w:trHeight w:val="442"/>
        </w:trPr>
        <w:tc>
          <w:tcPr>
            <w:tcW w:w="1504" w:type="dxa"/>
            <w:vMerge/>
            <w:tcBorders>
              <w:left w:val="nil"/>
              <w:right w:val="nil"/>
            </w:tcBorders>
            <w:shd w:val="clear" w:color="auto" w:fill="D9D9D9" w:themeFill="background1" w:themeFillShade="D9"/>
            <w:vAlign w:val="center"/>
          </w:tcPr>
          <w:p w14:paraId="1E0B859E"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tcPr>
          <w:p w14:paraId="3B11CCB3" w14:textId="77777777" w:rsidR="0096531F" w:rsidRPr="00353FF8" w:rsidRDefault="0096531F" w:rsidP="0096531F">
            <w:r w:rsidRPr="00353FF8">
              <w:t>Developing</w:t>
            </w:r>
            <w:r>
              <w:t>/</w:t>
            </w:r>
            <w:r w:rsidRPr="00353FF8">
              <w:t>enforcing political finance regulations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vAlign w:val="center"/>
          </w:tcPr>
          <w:p w14:paraId="34E6C1C0" w14:textId="77777777" w:rsidR="0096531F" w:rsidRDefault="0096531F" w:rsidP="0096531F">
            <w:pPr>
              <w:spacing w:after="0"/>
              <w:rPr>
                <w:noProof/>
              </w:rPr>
            </w:pPr>
            <w:r>
              <w:rPr>
                <w:noProof/>
              </w:rPr>
              <w:t>*</w:t>
            </w:r>
          </w:p>
        </w:tc>
      </w:tr>
      <w:tr w:rsidR="0096531F" w:rsidRPr="00124FD5" w14:paraId="59781E6A" w14:textId="77777777" w:rsidTr="00B37170">
        <w:trPr>
          <w:trHeight w:val="442"/>
        </w:trPr>
        <w:tc>
          <w:tcPr>
            <w:tcW w:w="1504" w:type="dxa"/>
            <w:vMerge/>
            <w:tcBorders>
              <w:left w:val="nil"/>
              <w:bottom w:val="single" w:sz="8" w:space="0" w:color="BFBFBF" w:themeColor="background1" w:themeShade="BF"/>
              <w:right w:val="nil"/>
            </w:tcBorders>
            <w:shd w:val="clear" w:color="auto" w:fill="D9D9D9" w:themeFill="background1" w:themeFillShade="D9"/>
            <w:vAlign w:val="center"/>
          </w:tcPr>
          <w:p w14:paraId="08D4DD92"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tcPr>
          <w:p w14:paraId="6944D4AC" w14:textId="77777777" w:rsidR="0096531F" w:rsidRPr="00353FF8" w:rsidRDefault="0096531F" w:rsidP="0096531F">
            <w:r w:rsidRPr="00353FF8">
              <w:t>Developing</w:t>
            </w:r>
            <w:r>
              <w:t xml:space="preserve"> and</w:t>
            </w:r>
            <w:r w:rsidRPr="00353FF8">
              <w:t xml:space="preserve"> promoting standards on parliamentary ethics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D9D9D9" w:themeFill="background1" w:themeFillShade="D9"/>
            <w:vAlign w:val="center"/>
          </w:tcPr>
          <w:p w14:paraId="109FB1E3" w14:textId="77777777" w:rsidR="0096531F" w:rsidRDefault="0096531F" w:rsidP="0096531F">
            <w:pPr>
              <w:spacing w:after="0"/>
              <w:rPr>
                <w:noProof/>
              </w:rPr>
            </w:pPr>
          </w:p>
        </w:tc>
      </w:tr>
      <w:tr w:rsidR="00DD59FD" w:rsidRPr="00124FD5" w14:paraId="718E37C7" w14:textId="77777777" w:rsidTr="00B37170">
        <w:trPr>
          <w:trHeight w:val="442"/>
        </w:trPr>
        <w:tc>
          <w:tcPr>
            <w:tcW w:w="1504" w:type="dxa"/>
            <w:vMerge w:val="restart"/>
            <w:tcBorders>
              <w:top w:val="single" w:sz="8" w:space="0" w:color="BFBFBF" w:themeColor="background1" w:themeShade="BF"/>
              <w:left w:val="nil"/>
              <w:right w:val="nil"/>
            </w:tcBorders>
            <w:shd w:val="clear" w:color="auto" w:fill="BFBFBF" w:themeFill="background1" w:themeFillShade="BF"/>
            <w:vAlign w:val="center"/>
          </w:tcPr>
          <w:p w14:paraId="7033B740" w14:textId="77777777" w:rsidR="00DD59FD" w:rsidRPr="004D0DB6" w:rsidRDefault="00DD59FD" w:rsidP="0096531F">
            <w:pPr>
              <w:spacing w:after="0"/>
              <w:rPr>
                <w:b/>
                <w:noProof/>
              </w:rPr>
            </w:pPr>
            <w:r>
              <w:rPr>
                <w:b/>
                <w:noProof/>
              </w:rPr>
              <w:t>P</w:t>
            </w:r>
            <w:r w:rsidRPr="004D0DB6">
              <w:rPr>
                <w:b/>
                <w:noProof/>
              </w:rPr>
              <w:t>rivate sector corruption</w:t>
            </w:r>
          </w:p>
        </w:tc>
        <w:tc>
          <w:tcPr>
            <w:tcW w:w="6583" w:type="dxa"/>
            <w:tcBorders>
              <w:top w:val="single" w:sz="8" w:space="0" w:color="BFBFBF" w:themeColor="background1" w:themeShade="BF"/>
              <w:left w:val="nil"/>
              <w:bottom w:val="single" w:sz="6" w:space="0" w:color="D9D9D9" w:themeColor="background1" w:themeShade="D9"/>
              <w:right w:val="nil"/>
            </w:tcBorders>
            <w:shd w:val="clear" w:color="auto" w:fill="BFBFBF" w:themeFill="background1" w:themeFillShade="BF"/>
          </w:tcPr>
          <w:p w14:paraId="0B09FDED" w14:textId="77777777" w:rsidR="00DD59FD" w:rsidRPr="00353FF8" w:rsidRDefault="00DD59FD" w:rsidP="0096531F">
            <w:r w:rsidRPr="00353FF8">
              <w:t>Supporting good corporate governance and corporate transparency</w:t>
            </w:r>
          </w:p>
        </w:tc>
        <w:tc>
          <w:tcPr>
            <w:tcW w:w="1411" w:type="dxa"/>
            <w:tcBorders>
              <w:top w:val="single" w:sz="8" w:space="0" w:color="BFBFBF" w:themeColor="background1" w:themeShade="BF"/>
              <w:left w:val="nil"/>
              <w:bottom w:val="single" w:sz="6" w:space="0" w:color="D9D9D9" w:themeColor="background1" w:themeShade="D9"/>
              <w:right w:val="nil"/>
            </w:tcBorders>
            <w:shd w:val="clear" w:color="auto" w:fill="BFBFBF" w:themeFill="background1" w:themeFillShade="BF"/>
            <w:vAlign w:val="center"/>
          </w:tcPr>
          <w:p w14:paraId="195F2153" w14:textId="77777777" w:rsidR="00DD59FD" w:rsidRDefault="00DD59FD" w:rsidP="0096531F">
            <w:pPr>
              <w:spacing w:after="0"/>
              <w:rPr>
                <w:noProof/>
              </w:rPr>
            </w:pPr>
            <w:r>
              <w:rPr>
                <w:noProof/>
              </w:rPr>
              <w:t>*</w:t>
            </w:r>
          </w:p>
        </w:tc>
      </w:tr>
      <w:tr w:rsidR="00DD59FD" w:rsidRPr="00124FD5" w14:paraId="6F8AF7EB" w14:textId="77777777" w:rsidTr="00B37170">
        <w:trPr>
          <w:trHeight w:val="442"/>
        </w:trPr>
        <w:tc>
          <w:tcPr>
            <w:tcW w:w="1504" w:type="dxa"/>
            <w:vMerge/>
            <w:tcBorders>
              <w:left w:val="nil"/>
              <w:right w:val="nil"/>
            </w:tcBorders>
            <w:shd w:val="clear" w:color="auto" w:fill="BFBFBF" w:themeFill="background1" w:themeFillShade="BF"/>
            <w:vAlign w:val="center"/>
          </w:tcPr>
          <w:p w14:paraId="77FECA32" w14:textId="77777777" w:rsidR="00DD59FD" w:rsidRPr="004D0DB6" w:rsidRDefault="00DD59FD" w:rsidP="0096531F">
            <w:pPr>
              <w:spacing w:after="0"/>
              <w:rPr>
                <w:b/>
                <w:noProof/>
              </w:rPr>
            </w:pPr>
          </w:p>
        </w:tc>
        <w:tc>
          <w:tcPr>
            <w:tcW w:w="6583"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tcPr>
          <w:p w14:paraId="049FD894" w14:textId="77777777" w:rsidR="00DD59FD" w:rsidRPr="00353FF8" w:rsidRDefault="00DD59FD" w:rsidP="0096531F">
            <w:r w:rsidRPr="00353FF8">
              <w:t>Increasing market competition/reducing regulation</w:t>
            </w:r>
          </w:p>
        </w:tc>
        <w:tc>
          <w:tcPr>
            <w:tcW w:w="1411"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vAlign w:val="center"/>
          </w:tcPr>
          <w:p w14:paraId="03445559" w14:textId="77777777" w:rsidR="00DD59FD" w:rsidRDefault="00DD59FD" w:rsidP="0096531F">
            <w:pPr>
              <w:spacing w:after="0"/>
              <w:rPr>
                <w:noProof/>
              </w:rPr>
            </w:pPr>
            <w:r>
              <w:rPr>
                <w:noProof/>
              </w:rPr>
              <w:t>*</w:t>
            </w:r>
          </w:p>
        </w:tc>
      </w:tr>
      <w:tr w:rsidR="00DD59FD" w:rsidRPr="00124FD5" w14:paraId="04FB80B5" w14:textId="77777777" w:rsidTr="00B37170">
        <w:trPr>
          <w:trHeight w:val="442"/>
        </w:trPr>
        <w:tc>
          <w:tcPr>
            <w:tcW w:w="1504" w:type="dxa"/>
            <w:vMerge/>
            <w:tcBorders>
              <w:left w:val="nil"/>
              <w:right w:val="nil"/>
            </w:tcBorders>
            <w:shd w:val="clear" w:color="auto" w:fill="BFBFBF" w:themeFill="background1" w:themeFillShade="BF"/>
            <w:vAlign w:val="center"/>
          </w:tcPr>
          <w:p w14:paraId="4155E23E" w14:textId="77777777" w:rsidR="00DD59FD" w:rsidRPr="004D0DB6" w:rsidRDefault="00DD59FD" w:rsidP="0096531F">
            <w:pPr>
              <w:spacing w:after="0"/>
              <w:rPr>
                <w:b/>
                <w:noProof/>
              </w:rPr>
            </w:pPr>
          </w:p>
        </w:tc>
        <w:tc>
          <w:tcPr>
            <w:tcW w:w="6583"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tcPr>
          <w:p w14:paraId="16D53646" w14:textId="77777777" w:rsidR="00DD59FD" w:rsidRPr="00353FF8" w:rsidRDefault="00DD59FD" w:rsidP="0096531F">
            <w:r w:rsidRPr="00353FF8">
              <w:t>Ensuring transparency of corporate bribery investigations</w:t>
            </w:r>
          </w:p>
        </w:tc>
        <w:tc>
          <w:tcPr>
            <w:tcW w:w="1411"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vAlign w:val="center"/>
          </w:tcPr>
          <w:p w14:paraId="0C8FD56D" w14:textId="77777777" w:rsidR="00DD59FD" w:rsidRDefault="00DD59FD" w:rsidP="0096531F">
            <w:pPr>
              <w:spacing w:after="0"/>
              <w:rPr>
                <w:noProof/>
              </w:rPr>
            </w:pPr>
            <w:r>
              <w:rPr>
                <w:noProof/>
              </w:rPr>
              <w:t>*</w:t>
            </w:r>
          </w:p>
        </w:tc>
      </w:tr>
      <w:tr w:rsidR="00DD59FD" w:rsidRPr="00124FD5" w14:paraId="3EE19ECC" w14:textId="77777777" w:rsidTr="00C92623">
        <w:trPr>
          <w:trHeight w:val="442"/>
        </w:trPr>
        <w:tc>
          <w:tcPr>
            <w:tcW w:w="1504" w:type="dxa"/>
            <w:vMerge/>
            <w:tcBorders>
              <w:left w:val="nil"/>
              <w:right w:val="nil"/>
            </w:tcBorders>
            <w:shd w:val="clear" w:color="auto" w:fill="BFBFBF" w:themeFill="background1" w:themeFillShade="BF"/>
            <w:vAlign w:val="center"/>
          </w:tcPr>
          <w:p w14:paraId="3F854585" w14:textId="77777777" w:rsidR="00DD59FD" w:rsidRPr="004D0DB6" w:rsidRDefault="00DD59FD" w:rsidP="0096531F">
            <w:pPr>
              <w:spacing w:after="0"/>
              <w:rPr>
                <w:b/>
                <w:noProof/>
              </w:rPr>
            </w:pPr>
          </w:p>
        </w:tc>
        <w:tc>
          <w:tcPr>
            <w:tcW w:w="6583"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tcPr>
          <w:p w14:paraId="76C8C7C5" w14:textId="77777777" w:rsidR="00DD59FD" w:rsidRPr="00353FF8" w:rsidRDefault="00DD59FD" w:rsidP="0096531F">
            <w:r>
              <w:t>S</w:t>
            </w:r>
            <w:r w:rsidRPr="00353FF8">
              <w:t>trengthening country</w:t>
            </w:r>
            <w:r>
              <w:t>-</w:t>
            </w:r>
            <w:r w:rsidRPr="00353FF8">
              <w:t>by</w:t>
            </w:r>
            <w:r>
              <w:t>-</w:t>
            </w:r>
            <w:r w:rsidRPr="00353FF8">
              <w:t>country reporting</w:t>
            </w:r>
          </w:p>
        </w:tc>
        <w:tc>
          <w:tcPr>
            <w:tcW w:w="1411"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vAlign w:val="center"/>
          </w:tcPr>
          <w:p w14:paraId="0FA4C336" w14:textId="77777777" w:rsidR="00DD59FD" w:rsidRDefault="00DD59FD" w:rsidP="0096531F">
            <w:pPr>
              <w:spacing w:after="0"/>
              <w:rPr>
                <w:noProof/>
              </w:rPr>
            </w:pPr>
            <w:r>
              <w:rPr>
                <w:noProof/>
              </w:rPr>
              <w:t>*</w:t>
            </w:r>
          </w:p>
        </w:tc>
      </w:tr>
      <w:tr w:rsidR="00DD59FD" w:rsidRPr="00124FD5" w14:paraId="2A1F27EE" w14:textId="77777777" w:rsidTr="00C92623">
        <w:trPr>
          <w:trHeight w:val="442"/>
        </w:trPr>
        <w:tc>
          <w:tcPr>
            <w:tcW w:w="1504" w:type="dxa"/>
            <w:vMerge/>
            <w:tcBorders>
              <w:left w:val="nil"/>
              <w:right w:val="nil"/>
            </w:tcBorders>
            <w:shd w:val="clear" w:color="auto" w:fill="BFBFBF" w:themeFill="background1" w:themeFillShade="BF"/>
            <w:vAlign w:val="center"/>
          </w:tcPr>
          <w:p w14:paraId="7095CA14" w14:textId="77777777" w:rsidR="00DD59FD" w:rsidRPr="004D0DB6" w:rsidRDefault="00DD59FD" w:rsidP="0096531F">
            <w:pPr>
              <w:spacing w:after="0"/>
              <w:rPr>
                <w:b/>
                <w:noProof/>
              </w:rPr>
            </w:pPr>
          </w:p>
        </w:tc>
        <w:tc>
          <w:tcPr>
            <w:tcW w:w="6583"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tcPr>
          <w:p w14:paraId="3D765687" w14:textId="77777777" w:rsidR="00DD59FD" w:rsidRPr="00353FF8" w:rsidRDefault="00DD59FD" w:rsidP="0096531F">
            <w:r>
              <w:t>S</w:t>
            </w:r>
            <w:r w:rsidRPr="00E41B6D">
              <w:t>trengthening beneficial own</w:t>
            </w:r>
            <w:r>
              <w:t>ership transparency requirements</w:t>
            </w:r>
          </w:p>
        </w:tc>
        <w:tc>
          <w:tcPr>
            <w:tcW w:w="1411" w:type="dxa"/>
            <w:tcBorders>
              <w:top w:val="single" w:sz="6" w:space="0" w:color="D9D9D9" w:themeColor="background1" w:themeShade="D9"/>
              <w:left w:val="nil"/>
              <w:bottom w:val="single" w:sz="6" w:space="0" w:color="D9D9D9" w:themeColor="background1" w:themeShade="D9"/>
              <w:right w:val="nil"/>
            </w:tcBorders>
            <w:shd w:val="clear" w:color="auto" w:fill="BFBFBF" w:themeFill="background1" w:themeFillShade="BF"/>
            <w:vAlign w:val="center"/>
          </w:tcPr>
          <w:p w14:paraId="7FE25D38" w14:textId="77777777" w:rsidR="00DD59FD" w:rsidRDefault="00DD59FD" w:rsidP="0096531F">
            <w:pPr>
              <w:spacing w:after="0"/>
              <w:rPr>
                <w:noProof/>
              </w:rPr>
            </w:pPr>
            <w:r>
              <w:rPr>
                <w:noProof/>
              </w:rPr>
              <w:t>*</w:t>
            </w:r>
          </w:p>
        </w:tc>
      </w:tr>
      <w:tr w:rsidR="00DD59FD" w:rsidRPr="00124FD5" w14:paraId="357CB952" w14:textId="77777777" w:rsidTr="00B37170">
        <w:trPr>
          <w:trHeight w:val="442"/>
        </w:trPr>
        <w:tc>
          <w:tcPr>
            <w:tcW w:w="1504" w:type="dxa"/>
            <w:vMerge/>
            <w:tcBorders>
              <w:left w:val="nil"/>
              <w:bottom w:val="single" w:sz="8" w:space="0" w:color="BFBFBF" w:themeColor="background1" w:themeShade="BF"/>
              <w:right w:val="nil"/>
            </w:tcBorders>
            <w:shd w:val="clear" w:color="auto" w:fill="BFBFBF" w:themeFill="background1" w:themeFillShade="BF"/>
            <w:vAlign w:val="center"/>
          </w:tcPr>
          <w:p w14:paraId="084B8F3C" w14:textId="77777777" w:rsidR="00DD59FD" w:rsidRPr="004D0DB6" w:rsidRDefault="00DD59FD" w:rsidP="0096531F">
            <w:pPr>
              <w:spacing w:after="0"/>
              <w:rPr>
                <w:b/>
                <w:noProof/>
              </w:rPr>
            </w:pPr>
          </w:p>
        </w:tc>
        <w:tc>
          <w:tcPr>
            <w:tcW w:w="6583" w:type="dxa"/>
            <w:tcBorders>
              <w:top w:val="single" w:sz="6" w:space="0" w:color="D9D9D9" w:themeColor="background1" w:themeShade="D9"/>
              <w:left w:val="nil"/>
              <w:bottom w:val="single" w:sz="4" w:space="0" w:color="D9D9D9" w:themeColor="background1" w:themeShade="D9"/>
              <w:right w:val="nil"/>
            </w:tcBorders>
            <w:shd w:val="clear" w:color="auto" w:fill="BFBFBF" w:themeFill="background1" w:themeFillShade="BF"/>
          </w:tcPr>
          <w:p w14:paraId="55C2A5FF" w14:textId="77777777" w:rsidR="00DD59FD" w:rsidRPr="00E41B6D" w:rsidRDefault="00DD59FD" w:rsidP="0096531F">
            <w:r>
              <w:t>Strengthening anti-bribery legislation and its enforcement</w:t>
            </w:r>
          </w:p>
        </w:tc>
        <w:tc>
          <w:tcPr>
            <w:tcW w:w="1411" w:type="dxa"/>
            <w:tcBorders>
              <w:top w:val="single" w:sz="6" w:space="0" w:color="D9D9D9" w:themeColor="background1" w:themeShade="D9"/>
              <w:left w:val="nil"/>
              <w:bottom w:val="single" w:sz="8" w:space="0" w:color="BFBFBF" w:themeColor="background1" w:themeShade="BF"/>
              <w:right w:val="nil"/>
            </w:tcBorders>
            <w:shd w:val="clear" w:color="auto" w:fill="BFBFBF" w:themeFill="background1" w:themeFillShade="BF"/>
            <w:vAlign w:val="center"/>
          </w:tcPr>
          <w:p w14:paraId="27670021" w14:textId="77777777" w:rsidR="00DD59FD" w:rsidRDefault="00DD59FD" w:rsidP="0096531F">
            <w:pPr>
              <w:spacing w:after="0"/>
              <w:rPr>
                <w:noProof/>
              </w:rPr>
            </w:pPr>
          </w:p>
        </w:tc>
      </w:tr>
      <w:tr w:rsidR="0096531F" w:rsidRPr="00124FD5" w14:paraId="608936A2" w14:textId="77777777" w:rsidTr="00B37170">
        <w:trPr>
          <w:trHeight w:val="442"/>
        </w:trPr>
        <w:tc>
          <w:tcPr>
            <w:tcW w:w="1504" w:type="dxa"/>
            <w:vMerge w:val="restart"/>
            <w:tcBorders>
              <w:top w:val="single" w:sz="8" w:space="0" w:color="BFBFBF" w:themeColor="background1" w:themeShade="BF"/>
              <w:left w:val="nil"/>
              <w:right w:val="nil"/>
            </w:tcBorders>
            <w:shd w:val="clear" w:color="auto" w:fill="A6A6A6" w:themeFill="background1" w:themeFillShade="A6"/>
            <w:vAlign w:val="center"/>
          </w:tcPr>
          <w:p w14:paraId="0CDE55A2" w14:textId="77777777" w:rsidR="0096531F" w:rsidRPr="004D0DB6" w:rsidRDefault="0096531F" w:rsidP="00BF3D26">
            <w:pPr>
              <w:spacing w:after="0"/>
              <w:rPr>
                <w:b/>
                <w:noProof/>
              </w:rPr>
            </w:pPr>
            <w:r w:rsidRPr="004D0DB6">
              <w:rPr>
                <w:b/>
                <w:noProof/>
              </w:rPr>
              <w:t>C</w:t>
            </w:r>
            <w:r w:rsidR="00BF3D26">
              <w:rPr>
                <w:b/>
                <w:noProof/>
              </w:rPr>
              <w:t>ross</w:t>
            </w:r>
            <w:r w:rsidRPr="004D0DB6">
              <w:rPr>
                <w:b/>
                <w:noProof/>
              </w:rPr>
              <w:t>-border corruption</w:t>
            </w:r>
          </w:p>
        </w:tc>
        <w:tc>
          <w:tcPr>
            <w:tcW w:w="6583" w:type="dxa"/>
            <w:tcBorders>
              <w:top w:val="single" w:sz="4" w:space="0" w:color="D9D9D9" w:themeColor="background1" w:themeShade="D9"/>
              <w:left w:val="nil"/>
              <w:bottom w:val="single" w:sz="8" w:space="0" w:color="BFBFBF" w:themeColor="background1" w:themeShade="BF"/>
              <w:right w:val="nil"/>
            </w:tcBorders>
            <w:shd w:val="clear" w:color="auto" w:fill="A6A6A6" w:themeFill="background1" w:themeFillShade="A6"/>
          </w:tcPr>
          <w:p w14:paraId="4887EF55" w14:textId="77777777" w:rsidR="0096531F" w:rsidRPr="00353FF8" w:rsidRDefault="0096531F" w:rsidP="0096531F">
            <w:r w:rsidRPr="00353FF8">
              <w:t>Introducing/strengthening foreign bribery legislation</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vAlign w:val="center"/>
          </w:tcPr>
          <w:p w14:paraId="21F574A9" w14:textId="77777777" w:rsidR="0096531F" w:rsidRDefault="0096531F" w:rsidP="0096531F">
            <w:pPr>
              <w:spacing w:after="0"/>
              <w:rPr>
                <w:noProof/>
              </w:rPr>
            </w:pPr>
            <w:r>
              <w:rPr>
                <w:noProof/>
              </w:rPr>
              <w:t>*</w:t>
            </w:r>
          </w:p>
        </w:tc>
      </w:tr>
      <w:tr w:rsidR="0096531F" w:rsidRPr="00124FD5" w14:paraId="64941CB0" w14:textId="77777777" w:rsidTr="00B37170">
        <w:trPr>
          <w:trHeight w:val="442"/>
        </w:trPr>
        <w:tc>
          <w:tcPr>
            <w:tcW w:w="1504" w:type="dxa"/>
            <w:vMerge/>
            <w:tcBorders>
              <w:left w:val="nil"/>
              <w:right w:val="nil"/>
            </w:tcBorders>
            <w:shd w:val="clear" w:color="auto" w:fill="A6A6A6" w:themeFill="background1" w:themeFillShade="A6"/>
            <w:vAlign w:val="center"/>
          </w:tcPr>
          <w:p w14:paraId="0B01CA62"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tcPr>
          <w:p w14:paraId="5EBDC9CC" w14:textId="77777777" w:rsidR="0096531F" w:rsidRPr="00353FF8" w:rsidRDefault="0096531F" w:rsidP="0096531F">
            <w:r w:rsidRPr="00353FF8">
              <w:t>Introducing/strengthening asset recovery measures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vAlign w:val="center"/>
          </w:tcPr>
          <w:p w14:paraId="31F379CB" w14:textId="77777777" w:rsidR="0096531F" w:rsidRDefault="0096531F" w:rsidP="0096531F">
            <w:pPr>
              <w:spacing w:after="0"/>
              <w:rPr>
                <w:noProof/>
              </w:rPr>
            </w:pPr>
            <w:r>
              <w:rPr>
                <w:noProof/>
              </w:rPr>
              <w:t>*</w:t>
            </w:r>
          </w:p>
        </w:tc>
      </w:tr>
      <w:tr w:rsidR="0096531F" w:rsidRPr="00124FD5" w14:paraId="39FAD0EE" w14:textId="77777777" w:rsidTr="00B37170">
        <w:trPr>
          <w:trHeight w:val="442"/>
        </w:trPr>
        <w:tc>
          <w:tcPr>
            <w:tcW w:w="1504" w:type="dxa"/>
            <w:vMerge/>
            <w:tcBorders>
              <w:left w:val="nil"/>
              <w:right w:val="nil"/>
            </w:tcBorders>
            <w:shd w:val="clear" w:color="auto" w:fill="A6A6A6" w:themeFill="background1" w:themeFillShade="A6"/>
            <w:vAlign w:val="center"/>
          </w:tcPr>
          <w:p w14:paraId="211D71C4"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tcPr>
          <w:p w14:paraId="01A24047" w14:textId="77777777" w:rsidR="0096531F" w:rsidRPr="00353FF8" w:rsidRDefault="0096531F" w:rsidP="0096531F">
            <w:r w:rsidRPr="00353FF8">
              <w:t>Developing/strengthening due diligence requirements for financial institutions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vAlign w:val="center"/>
          </w:tcPr>
          <w:p w14:paraId="48888FA0" w14:textId="77777777" w:rsidR="0096531F" w:rsidRDefault="0096531F" w:rsidP="0096531F">
            <w:pPr>
              <w:spacing w:after="0"/>
              <w:rPr>
                <w:noProof/>
              </w:rPr>
            </w:pPr>
          </w:p>
        </w:tc>
      </w:tr>
      <w:tr w:rsidR="0096531F" w:rsidRPr="00124FD5" w14:paraId="48A9F273" w14:textId="77777777" w:rsidTr="00B37170">
        <w:trPr>
          <w:trHeight w:val="442"/>
        </w:trPr>
        <w:tc>
          <w:tcPr>
            <w:tcW w:w="1504" w:type="dxa"/>
            <w:vMerge/>
            <w:tcBorders>
              <w:left w:val="nil"/>
              <w:right w:val="nil"/>
            </w:tcBorders>
            <w:shd w:val="clear" w:color="auto" w:fill="A6A6A6" w:themeFill="background1" w:themeFillShade="A6"/>
            <w:vAlign w:val="center"/>
          </w:tcPr>
          <w:p w14:paraId="662E1DAA"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tcPr>
          <w:p w14:paraId="1234EF7B" w14:textId="77777777" w:rsidR="0096531F" w:rsidRPr="00353FF8" w:rsidRDefault="0096531F" w:rsidP="0096531F">
            <w:r w:rsidRPr="00353FF8">
              <w:t>Introducing/strengthening regulation of real estate and luxury good sectors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vAlign w:val="center"/>
          </w:tcPr>
          <w:p w14:paraId="13D40AAB" w14:textId="77777777" w:rsidR="0096531F" w:rsidRDefault="0096531F" w:rsidP="0096531F">
            <w:pPr>
              <w:spacing w:after="0"/>
              <w:rPr>
                <w:noProof/>
              </w:rPr>
            </w:pPr>
          </w:p>
        </w:tc>
      </w:tr>
      <w:tr w:rsidR="0096531F" w:rsidRPr="00124FD5" w14:paraId="16230A1D" w14:textId="77777777" w:rsidTr="00B37170">
        <w:trPr>
          <w:trHeight w:val="442"/>
        </w:trPr>
        <w:tc>
          <w:tcPr>
            <w:tcW w:w="1504" w:type="dxa"/>
            <w:vMerge/>
            <w:tcBorders>
              <w:left w:val="nil"/>
              <w:right w:val="nil"/>
            </w:tcBorders>
            <w:shd w:val="clear" w:color="auto" w:fill="A6A6A6" w:themeFill="background1" w:themeFillShade="A6"/>
            <w:vAlign w:val="center"/>
          </w:tcPr>
          <w:p w14:paraId="3AC705B0"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tcPr>
          <w:p w14:paraId="0031F799" w14:textId="77777777" w:rsidR="0096531F" w:rsidRPr="00353FF8" w:rsidRDefault="0096531F" w:rsidP="0096531F">
            <w:r w:rsidRPr="00353FF8">
              <w:t>Introducing/strengthening denial of entry measures</w:t>
            </w:r>
            <w:r>
              <w:t xml:space="preserve"> for corrupt individuals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vAlign w:val="center"/>
          </w:tcPr>
          <w:p w14:paraId="17F46713" w14:textId="77777777" w:rsidR="0096531F" w:rsidRDefault="0096531F" w:rsidP="0096531F">
            <w:pPr>
              <w:spacing w:after="0"/>
              <w:rPr>
                <w:noProof/>
              </w:rPr>
            </w:pPr>
            <w:r>
              <w:rPr>
                <w:noProof/>
              </w:rPr>
              <w:t>*</w:t>
            </w:r>
          </w:p>
        </w:tc>
      </w:tr>
      <w:tr w:rsidR="0096531F" w:rsidRPr="00124FD5" w14:paraId="4A8468FC" w14:textId="77777777" w:rsidTr="00E77D96">
        <w:trPr>
          <w:trHeight w:val="442"/>
        </w:trPr>
        <w:tc>
          <w:tcPr>
            <w:tcW w:w="1504" w:type="dxa"/>
            <w:vMerge/>
            <w:tcBorders>
              <w:left w:val="nil"/>
              <w:bottom w:val="single" w:sz="8" w:space="0" w:color="BFBFBF" w:themeColor="background1" w:themeShade="BF"/>
              <w:right w:val="nil"/>
            </w:tcBorders>
            <w:shd w:val="clear" w:color="auto" w:fill="A6A6A6" w:themeFill="background1" w:themeFillShade="A6"/>
            <w:vAlign w:val="center"/>
          </w:tcPr>
          <w:p w14:paraId="5947C3F2" w14:textId="77777777" w:rsidR="0096531F" w:rsidRPr="004D0DB6" w:rsidRDefault="0096531F"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tcPr>
          <w:p w14:paraId="3134FCE7" w14:textId="77777777" w:rsidR="0096531F" w:rsidRPr="00353FF8" w:rsidRDefault="0096531F" w:rsidP="0096531F">
            <w:r w:rsidRPr="00353FF8">
              <w:t xml:space="preserve">Supporting mutual legal assistance and automatic exchange of information </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A6A6A6" w:themeFill="background1" w:themeFillShade="A6"/>
            <w:vAlign w:val="center"/>
          </w:tcPr>
          <w:p w14:paraId="58D6FBBD" w14:textId="77777777" w:rsidR="0096531F" w:rsidRDefault="0096531F" w:rsidP="0096531F">
            <w:pPr>
              <w:spacing w:after="0"/>
              <w:rPr>
                <w:noProof/>
              </w:rPr>
            </w:pPr>
          </w:p>
        </w:tc>
      </w:tr>
      <w:tr w:rsidR="00E6221B" w:rsidRPr="00124FD5" w14:paraId="104AF09F" w14:textId="77777777" w:rsidTr="00B37170">
        <w:trPr>
          <w:trHeight w:val="442"/>
        </w:trPr>
        <w:tc>
          <w:tcPr>
            <w:tcW w:w="1504" w:type="dxa"/>
            <w:vMerge w:val="restart"/>
            <w:tcBorders>
              <w:top w:val="single" w:sz="8" w:space="0" w:color="BFBFBF" w:themeColor="background1" w:themeShade="BF"/>
              <w:left w:val="nil"/>
              <w:right w:val="nil"/>
            </w:tcBorders>
            <w:shd w:val="clear" w:color="auto" w:fill="808080" w:themeFill="background1" w:themeFillShade="80"/>
            <w:vAlign w:val="center"/>
          </w:tcPr>
          <w:p w14:paraId="626A11E5" w14:textId="77777777" w:rsidR="00E6221B" w:rsidRPr="004D0DB6" w:rsidRDefault="00E6221B" w:rsidP="00B37170">
            <w:pPr>
              <w:spacing w:after="0"/>
              <w:rPr>
                <w:b/>
                <w:noProof/>
              </w:rPr>
            </w:pPr>
            <w:r>
              <w:rPr>
                <w:b/>
                <w:noProof/>
              </w:rPr>
              <w:t>Law</w:t>
            </w:r>
            <w:r w:rsidRPr="004D0DB6">
              <w:rPr>
                <w:b/>
                <w:noProof/>
              </w:rPr>
              <w:t xml:space="preserve"> enforcement</w:t>
            </w:r>
          </w:p>
          <w:p w14:paraId="54BC77E4" w14:textId="1F590BF5" w:rsidR="00E6221B" w:rsidRPr="00DD59FD" w:rsidRDefault="00E6221B" w:rsidP="00DD59FD">
            <w:pPr>
              <w:spacing w:after="0"/>
              <w:rPr>
                <w:b/>
                <w:noProof/>
              </w:rPr>
            </w:pPr>
            <w:r w:rsidRPr="000E20F9">
              <w:rPr>
                <w:b/>
                <w:noProof/>
              </w:rPr>
              <w:t xml:space="preserve">and </w:t>
            </w:r>
            <w:r w:rsidR="00DD59FD">
              <w:rPr>
                <w:b/>
                <w:noProof/>
              </w:rPr>
              <w:t>j</w:t>
            </w:r>
            <w:r w:rsidRPr="00DD59FD">
              <w:rPr>
                <w:b/>
                <w:noProof/>
              </w:rPr>
              <w:t>udiciary</w:t>
            </w: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5D5058B1" w14:textId="352B71A3" w:rsidR="00E6221B" w:rsidRPr="00353FF8" w:rsidRDefault="00E6221B" w:rsidP="0096531F">
            <w:r>
              <w:t>Developing mechanisms for citizen assistance/legal aid for corruption issue</w:t>
            </w:r>
            <w:r w:rsidRPr="00353FF8">
              <w:t>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6E676998" w14:textId="77777777" w:rsidR="00E6221B" w:rsidRDefault="00E6221B" w:rsidP="0096531F">
            <w:pPr>
              <w:spacing w:after="0"/>
              <w:rPr>
                <w:noProof/>
              </w:rPr>
            </w:pPr>
            <w:r>
              <w:rPr>
                <w:noProof/>
              </w:rPr>
              <w:t>*</w:t>
            </w:r>
          </w:p>
        </w:tc>
      </w:tr>
      <w:tr w:rsidR="00E6221B" w:rsidRPr="00124FD5" w14:paraId="6C9A33BC" w14:textId="77777777" w:rsidTr="00163A52">
        <w:trPr>
          <w:trHeight w:val="442"/>
        </w:trPr>
        <w:tc>
          <w:tcPr>
            <w:tcW w:w="1504" w:type="dxa"/>
            <w:vMerge/>
            <w:tcBorders>
              <w:left w:val="nil"/>
              <w:right w:val="nil"/>
            </w:tcBorders>
            <w:shd w:val="clear" w:color="auto" w:fill="808080" w:themeFill="background1" w:themeFillShade="80"/>
            <w:vAlign w:val="center"/>
          </w:tcPr>
          <w:p w14:paraId="25FDB5BE" w14:textId="56E320B1" w:rsidR="00E6221B" w:rsidRPr="004D0DB6" w:rsidRDefault="00E6221B"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1131F36C" w14:textId="77777777" w:rsidR="00E6221B" w:rsidRPr="00353FF8" w:rsidRDefault="00E6221B" w:rsidP="0096531F">
            <w:r w:rsidRPr="00353FF8">
              <w:t>Supporting proactive investigations by law enforcement</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44542EF5" w14:textId="77777777" w:rsidR="00E6221B" w:rsidRDefault="00E6221B" w:rsidP="0096531F">
            <w:pPr>
              <w:spacing w:after="0"/>
              <w:rPr>
                <w:noProof/>
              </w:rPr>
            </w:pPr>
            <w:r>
              <w:rPr>
                <w:noProof/>
              </w:rPr>
              <w:t>*</w:t>
            </w:r>
          </w:p>
        </w:tc>
      </w:tr>
      <w:tr w:rsidR="00E6221B" w:rsidRPr="00124FD5" w14:paraId="37DBCFB6" w14:textId="77777777" w:rsidTr="00B37170">
        <w:trPr>
          <w:trHeight w:val="442"/>
        </w:trPr>
        <w:tc>
          <w:tcPr>
            <w:tcW w:w="1504" w:type="dxa"/>
            <w:vMerge/>
            <w:tcBorders>
              <w:left w:val="nil"/>
              <w:right w:val="nil"/>
            </w:tcBorders>
            <w:shd w:val="clear" w:color="auto" w:fill="808080" w:themeFill="background1" w:themeFillShade="80"/>
            <w:vAlign w:val="center"/>
          </w:tcPr>
          <w:p w14:paraId="72BF9F1E" w14:textId="71974B88" w:rsidR="00E6221B" w:rsidRDefault="00E6221B" w:rsidP="0096531F">
            <w:pPr>
              <w:spacing w:after="0"/>
              <w:rPr>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3C482A6D" w14:textId="77777777" w:rsidR="00E6221B" w:rsidRPr="00353FF8" w:rsidRDefault="00E6221B" w:rsidP="0096531F">
            <w:r w:rsidRPr="00353FF8">
              <w:t>Limiting immunities and statutes of limitations for corruption offences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37905A0F" w14:textId="77777777" w:rsidR="00E6221B" w:rsidRDefault="00E6221B" w:rsidP="0096531F">
            <w:pPr>
              <w:spacing w:after="0"/>
              <w:rPr>
                <w:noProof/>
              </w:rPr>
            </w:pPr>
          </w:p>
        </w:tc>
      </w:tr>
      <w:tr w:rsidR="00E6221B" w:rsidRPr="00124FD5" w14:paraId="2EE1AEF5" w14:textId="77777777" w:rsidTr="00B37170">
        <w:trPr>
          <w:trHeight w:val="442"/>
        </w:trPr>
        <w:tc>
          <w:tcPr>
            <w:tcW w:w="1504" w:type="dxa"/>
            <w:vMerge/>
            <w:tcBorders>
              <w:left w:val="nil"/>
              <w:right w:val="nil"/>
            </w:tcBorders>
            <w:shd w:val="clear" w:color="auto" w:fill="808080" w:themeFill="background1" w:themeFillShade="80"/>
            <w:vAlign w:val="center"/>
          </w:tcPr>
          <w:p w14:paraId="06BC3FEE" w14:textId="2FF0C087" w:rsidR="00E6221B" w:rsidRDefault="00E6221B" w:rsidP="0096531F">
            <w:pPr>
              <w:spacing w:after="0"/>
              <w:rPr>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7EED3385" w14:textId="77777777" w:rsidR="00E6221B" w:rsidRPr="00353FF8" w:rsidRDefault="00E6221B" w:rsidP="0096531F">
            <w:r w:rsidRPr="00353FF8">
              <w:t>Introducing/strengthening public interest litigation measures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6CDE8002" w14:textId="77777777" w:rsidR="00E6221B" w:rsidRDefault="00E6221B" w:rsidP="0096531F">
            <w:pPr>
              <w:spacing w:after="0"/>
              <w:rPr>
                <w:noProof/>
              </w:rPr>
            </w:pPr>
          </w:p>
        </w:tc>
      </w:tr>
      <w:tr w:rsidR="00E6221B" w:rsidRPr="00124FD5" w14:paraId="4CDC2B9B" w14:textId="77777777" w:rsidTr="00163A52">
        <w:trPr>
          <w:trHeight w:val="442"/>
        </w:trPr>
        <w:tc>
          <w:tcPr>
            <w:tcW w:w="1504" w:type="dxa"/>
            <w:vMerge/>
            <w:tcBorders>
              <w:left w:val="nil"/>
              <w:right w:val="nil"/>
            </w:tcBorders>
            <w:shd w:val="clear" w:color="auto" w:fill="808080" w:themeFill="background1" w:themeFillShade="80"/>
            <w:vAlign w:val="center"/>
          </w:tcPr>
          <w:p w14:paraId="2301CBF1" w14:textId="00402C07" w:rsidR="00E6221B" w:rsidRDefault="00E6221B" w:rsidP="0096531F">
            <w:pPr>
              <w:spacing w:after="0"/>
              <w:rPr>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16F99559" w14:textId="40604353" w:rsidR="00E6221B" w:rsidRDefault="00E6221B" w:rsidP="00B56F56">
            <w:r w:rsidRPr="00386EE2">
              <w:t>Increasing the transparency of enforcement data</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7FE34507" w14:textId="3938B31E" w:rsidR="00E6221B" w:rsidRDefault="00E6221B" w:rsidP="0096531F">
            <w:pPr>
              <w:spacing w:after="0"/>
              <w:rPr>
                <w:noProof/>
              </w:rPr>
            </w:pPr>
            <w:r>
              <w:rPr>
                <w:noProof/>
              </w:rPr>
              <w:t>*</w:t>
            </w:r>
          </w:p>
        </w:tc>
      </w:tr>
      <w:tr w:rsidR="00E6221B" w:rsidRPr="00124FD5" w14:paraId="2AB1A0D5" w14:textId="77777777" w:rsidTr="00AD6EBA">
        <w:trPr>
          <w:trHeight w:val="442"/>
        </w:trPr>
        <w:tc>
          <w:tcPr>
            <w:tcW w:w="1504" w:type="dxa"/>
            <w:vMerge/>
            <w:tcBorders>
              <w:left w:val="nil"/>
              <w:right w:val="nil"/>
            </w:tcBorders>
            <w:shd w:val="clear" w:color="auto" w:fill="808080" w:themeFill="background1" w:themeFillShade="80"/>
            <w:vAlign w:val="center"/>
          </w:tcPr>
          <w:p w14:paraId="70CD2AD2" w14:textId="3A7B963A" w:rsidR="00E6221B" w:rsidRPr="00E77D96" w:rsidRDefault="00E6221B"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09F0BC71" w14:textId="47EEF130" w:rsidR="00E6221B" w:rsidRPr="00E77D96" w:rsidRDefault="00E6221B" w:rsidP="0096531F">
            <w:pPr>
              <w:rPr>
                <w:noProof/>
              </w:rPr>
            </w:pPr>
            <w:r w:rsidRPr="00E77D96">
              <w:rPr>
                <w:noProof/>
              </w:rPr>
              <w:t>Enhancing rules-based approach to the appointment, promotion and secondment of judges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737A0228" w14:textId="77777777" w:rsidR="00E6221B" w:rsidRDefault="00E6221B" w:rsidP="0096531F">
            <w:pPr>
              <w:spacing w:after="0"/>
              <w:rPr>
                <w:noProof/>
              </w:rPr>
            </w:pPr>
          </w:p>
        </w:tc>
      </w:tr>
      <w:tr w:rsidR="00E6221B" w:rsidRPr="00124FD5" w14:paraId="454E4825" w14:textId="77777777" w:rsidTr="00AD6EBA">
        <w:trPr>
          <w:trHeight w:val="442"/>
        </w:trPr>
        <w:tc>
          <w:tcPr>
            <w:tcW w:w="1504" w:type="dxa"/>
            <w:vMerge/>
            <w:tcBorders>
              <w:left w:val="nil"/>
              <w:right w:val="nil"/>
            </w:tcBorders>
            <w:shd w:val="clear" w:color="auto" w:fill="808080" w:themeFill="background1" w:themeFillShade="80"/>
            <w:vAlign w:val="center"/>
          </w:tcPr>
          <w:p w14:paraId="3D7146F9" w14:textId="3295FE4F" w:rsidR="00E6221B" w:rsidRPr="00E77D96" w:rsidRDefault="00E6221B"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3DBCA389" w14:textId="397C2476" w:rsidR="00E6221B" w:rsidRPr="00E77D96" w:rsidRDefault="00E6221B" w:rsidP="0096531F">
            <w:pPr>
              <w:rPr>
                <w:noProof/>
              </w:rPr>
            </w:pPr>
            <w:r w:rsidRPr="00E77D96">
              <w:rPr>
                <w:noProof/>
              </w:rPr>
              <w:t>Introducing measures to strengthen the capacity/independence of judicial authorities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08DA99E3" w14:textId="77777777" w:rsidR="00E6221B" w:rsidRDefault="00E6221B" w:rsidP="0096531F">
            <w:pPr>
              <w:spacing w:after="0"/>
              <w:rPr>
                <w:noProof/>
              </w:rPr>
            </w:pPr>
          </w:p>
        </w:tc>
      </w:tr>
      <w:tr w:rsidR="00E6221B" w:rsidRPr="00124FD5" w14:paraId="30B8F654" w14:textId="77777777" w:rsidTr="00AD6EBA">
        <w:trPr>
          <w:trHeight w:val="442"/>
        </w:trPr>
        <w:tc>
          <w:tcPr>
            <w:tcW w:w="1504" w:type="dxa"/>
            <w:vMerge/>
            <w:tcBorders>
              <w:left w:val="nil"/>
              <w:right w:val="nil"/>
            </w:tcBorders>
            <w:shd w:val="clear" w:color="auto" w:fill="808080" w:themeFill="background1" w:themeFillShade="80"/>
            <w:vAlign w:val="center"/>
          </w:tcPr>
          <w:p w14:paraId="30AD98BF" w14:textId="77777777" w:rsidR="00E6221B" w:rsidRPr="00E77D96" w:rsidRDefault="00E6221B" w:rsidP="0096531F">
            <w:pPr>
              <w:spacing w:after="0"/>
              <w:rPr>
                <w:b/>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0EC9A444" w14:textId="3E1D0AEF" w:rsidR="00E6221B" w:rsidRPr="00E77D96" w:rsidRDefault="00E6221B" w:rsidP="00B56F56">
            <w:pPr>
              <w:rPr>
                <w:noProof/>
              </w:rPr>
            </w:pPr>
            <w:r w:rsidRPr="00E77D96">
              <w:rPr>
                <w:noProof/>
              </w:rPr>
              <w:t>Increasing the transparency of judicial data, including on rationale for court decisions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68AF861D" w14:textId="77777777" w:rsidR="00E6221B" w:rsidRDefault="00E6221B" w:rsidP="0096531F">
            <w:pPr>
              <w:spacing w:after="0"/>
              <w:rPr>
                <w:noProof/>
              </w:rPr>
            </w:pPr>
          </w:p>
        </w:tc>
      </w:tr>
      <w:tr w:rsidR="00B56F56" w:rsidRPr="00124FD5" w14:paraId="0B730E63" w14:textId="77777777" w:rsidTr="00E77D96">
        <w:trPr>
          <w:trHeight w:val="442"/>
        </w:trPr>
        <w:tc>
          <w:tcPr>
            <w:tcW w:w="1504" w:type="dxa"/>
            <w:tcBorders>
              <w:left w:val="nil"/>
              <w:right w:val="nil"/>
            </w:tcBorders>
            <w:shd w:val="clear" w:color="auto" w:fill="808080" w:themeFill="background1" w:themeFillShade="80"/>
            <w:vAlign w:val="center"/>
          </w:tcPr>
          <w:p w14:paraId="2176EA8E" w14:textId="77777777" w:rsidR="00B56F56" w:rsidRDefault="00B56F56" w:rsidP="0096531F">
            <w:pPr>
              <w:spacing w:after="0"/>
              <w:rPr>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6A110D8B" w14:textId="1F548114" w:rsidR="00B56F56" w:rsidRPr="00DD59FD" w:rsidRDefault="00B56F56" w:rsidP="0096531F">
            <w:pPr>
              <w:rPr>
                <w:rFonts w:cs="Arial"/>
              </w:rPr>
            </w:pPr>
            <w:r w:rsidRPr="000E20F9">
              <w:rPr>
                <w:rFonts w:eastAsia="Times New Roman" w:cs="Arial"/>
                <w:bCs/>
              </w:rPr>
              <w:t>Improving the system for and implementation of disciplinary liability and disciplinary proceedings of judges</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2B418409" w14:textId="77777777" w:rsidR="00B56F56" w:rsidRPr="00E77D96" w:rsidRDefault="00B56F56" w:rsidP="0096531F">
            <w:pPr>
              <w:spacing w:after="0"/>
              <w:rPr>
                <w:rFonts w:cs="Arial"/>
                <w:noProof/>
              </w:rPr>
            </w:pPr>
          </w:p>
        </w:tc>
      </w:tr>
      <w:tr w:rsidR="00B56F56" w:rsidRPr="00124FD5" w14:paraId="18F342E0" w14:textId="77777777" w:rsidTr="00B37170">
        <w:trPr>
          <w:trHeight w:val="442"/>
        </w:trPr>
        <w:tc>
          <w:tcPr>
            <w:tcW w:w="1504" w:type="dxa"/>
            <w:tcBorders>
              <w:left w:val="nil"/>
              <w:bottom w:val="single" w:sz="8" w:space="0" w:color="BFBFBF" w:themeColor="background1" w:themeShade="BF"/>
              <w:right w:val="nil"/>
            </w:tcBorders>
            <w:shd w:val="clear" w:color="auto" w:fill="808080" w:themeFill="background1" w:themeFillShade="80"/>
            <w:vAlign w:val="center"/>
          </w:tcPr>
          <w:p w14:paraId="73A1F1FB" w14:textId="77777777" w:rsidR="00B56F56" w:rsidRDefault="00B56F56" w:rsidP="0096531F">
            <w:pPr>
              <w:spacing w:after="0"/>
              <w:rPr>
                <w:noProof/>
              </w:rPr>
            </w:pPr>
          </w:p>
        </w:tc>
        <w:tc>
          <w:tcPr>
            <w:tcW w:w="6583"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tcPr>
          <w:p w14:paraId="26CD2C43" w14:textId="6865DCF5" w:rsidR="00B56F56" w:rsidRPr="00DD59FD" w:rsidRDefault="00B56F56" w:rsidP="0096531F">
            <w:pPr>
              <w:rPr>
                <w:rFonts w:cs="Arial"/>
              </w:rPr>
            </w:pPr>
            <w:r w:rsidRPr="000E20F9">
              <w:rPr>
                <w:rFonts w:eastAsia="Times New Roman" w:cs="Arial"/>
                <w:bCs/>
              </w:rPr>
              <w:t>Training of judges on issues of ethics, conflict of interests and corruption</w:t>
            </w:r>
          </w:p>
        </w:tc>
        <w:tc>
          <w:tcPr>
            <w:tcW w:w="1411" w:type="dxa"/>
            <w:tcBorders>
              <w:top w:val="single" w:sz="8" w:space="0" w:color="BFBFBF" w:themeColor="background1" w:themeShade="BF"/>
              <w:left w:val="nil"/>
              <w:bottom w:val="single" w:sz="8" w:space="0" w:color="BFBFBF" w:themeColor="background1" w:themeShade="BF"/>
              <w:right w:val="nil"/>
            </w:tcBorders>
            <w:shd w:val="clear" w:color="auto" w:fill="808080" w:themeFill="background1" w:themeFillShade="80"/>
            <w:vAlign w:val="center"/>
          </w:tcPr>
          <w:p w14:paraId="2827C668" w14:textId="77777777" w:rsidR="00B56F56" w:rsidRPr="00E77D96" w:rsidRDefault="00B56F56" w:rsidP="0096531F">
            <w:pPr>
              <w:spacing w:after="0"/>
              <w:rPr>
                <w:rFonts w:cs="Arial"/>
                <w:noProof/>
              </w:rPr>
            </w:pPr>
          </w:p>
        </w:tc>
      </w:tr>
    </w:tbl>
    <w:p w14:paraId="3581C222" w14:textId="77777777" w:rsidR="002F02D9" w:rsidRDefault="002F02D9" w:rsidP="002F02D9">
      <w:pPr>
        <w:rPr>
          <w:noProof/>
        </w:rPr>
      </w:pPr>
    </w:p>
    <w:p w14:paraId="4E01709C" w14:textId="77777777" w:rsidR="00E06BA9" w:rsidRDefault="00E06BA9" w:rsidP="002F02D9">
      <w:pPr>
        <w:rPr>
          <w:noProof/>
        </w:rPr>
      </w:pPr>
    </w:p>
    <w:p w14:paraId="2849FDD8" w14:textId="77777777" w:rsidR="00B37170" w:rsidRPr="002F02D9" w:rsidRDefault="00B37170" w:rsidP="002F02D9">
      <w:pPr>
        <w:rPr>
          <w:noProof/>
        </w:rPr>
      </w:pPr>
    </w:p>
    <w:bookmarkEnd w:id="1"/>
    <w:p w14:paraId="399C13E5" w14:textId="77777777" w:rsidR="008A2733" w:rsidRPr="008A2733" w:rsidRDefault="008A2733" w:rsidP="004C7FA8">
      <w:pPr>
        <w:rPr>
          <w:rFonts w:ascii="Arial Narrow" w:eastAsia="Times New Roman" w:hAnsi="Arial Narrow"/>
          <w:bCs/>
          <w:caps/>
          <w:noProof/>
          <w:color w:val="009FEE"/>
          <w:sz w:val="36"/>
          <w:szCs w:val="26"/>
        </w:rPr>
      </w:pPr>
      <w:r w:rsidRPr="008A2733">
        <w:rPr>
          <w:rFonts w:ascii="Arial Narrow" w:eastAsia="Times New Roman" w:hAnsi="Arial Narrow"/>
          <w:bCs/>
          <w:caps/>
          <w:noProof/>
          <w:color w:val="009FEE"/>
          <w:sz w:val="36"/>
          <w:szCs w:val="26"/>
        </w:rPr>
        <w:t xml:space="preserve">Illustrative examples of </w:t>
      </w:r>
      <w:r w:rsidR="00FF3385">
        <w:rPr>
          <w:rFonts w:ascii="Arial Narrow" w:eastAsia="Times New Roman" w:hAnsi="Arial Narrow"/>
          <w:bCs/>
          <w:caps/>
          <w:noProof/>
          <w:color w:val="009FEE"/>
          <w:sz w:val="36"/>
          <w:szCs w:val="26"/>
        </w:rPr>
        <w:t xml:space="preserve">ambitious </w:t>
      </w:r>
      <w:r w:rsidRPr="008A2733">
        <w:rPr>
          <w:rFonts w:ascii="Arial Narrow" w:eastAsia="Times New Roman" w:hAnsi="Arial Narrow"/>
          <w:bCs/>
          <w:caps/>
          <w:noProof/>
          <w:color w:val="009FEE"/>
          <w:sz w:val="36"/>
          <w:szCs w:val="26"/>
        </w:rPr>
        <w:t xml:space="preserve">government anti-corruption commitments </w:t>
      </w:r>
    </w:p>
    <w:p w14:paraId="33B41C85" w14:textId="3CA61BDE" w:rsidR="00B96A11" w:rsidRDefault="00AB4853" w:rsidP="004C7FA8">
      <w:r>
        <w:rPr>
          <w:noProof/>
        </w:rPr>
        <w:t>Below we present a selection of commitments from OGP action plans and beyond as an illustration of what governments can achieve with high levels of ambition</w:t>
      </w:r>
      <w:r w:rsidR="00F9740F">
        <w:rPr>
          <w:noProof/>
        </w:rPr>
        <w:t>.</w:t>
      </w:r>
      <w:r w:rsidR="00804E0E">
        <w:rPr>
          <w:noProof/>
        </w:rPr>
        <w:t xml:space="preserve"> </w:t>
      </w:r>
      <w:r w:rsidR="00804E0E">
        <w:t xml:space="preserve">It draws on the Independent </w:t>
      </w:r>
      <w:r w:rsidR="00E40F96">
        <w:t xml:space="preserve">Reporting </w:t>
      </w:r>
      <w:r w:rsidR="00804E0E">
        <w:t>Mechanism (IRM) evaluation</w:t>
      </w:r>
      <w:r w:rsidR="00D858BB">
        <w:t>s</w:t>
      </w:r>
      <w:r w:rsidR="00804E0E">
        <w:t xml:space="preserve"> of OGP commitments</w:t>
      </w:r>
      <w:r w:rsidR="00D858BB">
        <w:t xml:space="preserve"> as well as submissions from TI National Chapters</w:t>
      </w:r>
      <w:r w:rsidR="00804E0E">
        <w:t xml:space="preserve">. It also </w:t>
      </w:r>
      <w:r w:rsidR="00D858BB">
        <w:t xml:space="preserve">includes </w:t>
      </w:r>
      <w:r w:rsidR="00804E0E">
        <w:t>examples</w:t>
      </w:r>
      <w:r w:rsidR="00D858BB">
        <w:t xml:space="preserve"> of</w:t>
      </w:r>
      <w:r w:rsidR="00804E0E">
        <w:t xml:space="preserve"> </w:t>
      </w:r>
      <w:r w:rsidR="00D858BB">
        <w:t xml:space="preserve">national-level </w:t>
      </w:r>
      <w:r w:rsidR="00804E0E">
        <w:t>initiatives</w:t>
      </w:r>
      <w:r w:rsidR="00D858BB">
        <w:t xml:space="preserve"> beyond the framework of the OGP. </w:t>
      </w:r>
    </w:p>
    <w:p w14:paraId="1FB6FC7A" w14:textId="77777777" w:rsidR="008A2733" w:rsidRDefault="006F2E4C" w:rsidP="004C7FA8">
      <w:pPr>
        <w:rPr>
          <w:noProof/>
        </w:rPr>
      </w:pPr>
      <w:r>
        <w:t xml:space="preserve">As previously noted, </w:t>
      </w:r>
      <w:r w:rsidR="00B96A11">
        <w:t>defining what constitutes an ambitious commitment is challenging in the absence of a broader analysis of the national context in which each commitment is being implemented</w:t>
      </w:r>
      <w:r w:rsidR="00440E8F">
        <w:t xml:space="preserve"> and given the limited information on m</w:t>
      </w:r>
      <w:r>
        <w:t>any</w:t>
      </w:r>
      <w:r w:rsidR="00440E8F">
        <w:t xml:space="preserve"> cases</w:t>
      </w:r>
      <w:r w:rsidR="00B96A11">
        <w:t>. Nevertheless c</w:t>
      </w:r>
      <w:r w:rsidR="00D858BB">
        <w:t>riteria for inclusion i</w:t>
      </w:r>
      <w:r w:rsidR="00B96A11">
        <w:t xml:space="preserve">ncluded: (i) </w:t>
      </w:r>
      <w:r w:rsidR="00834968">
        <w:t>receiving</w:t>
      </w:r>
      <w:r w:rsidR="00B96A11">
        <w:t xml:space="preserve"> a star rating from </w:t>
      </w:r>
      <w:r>
        <w:t>the IRM</w:t>
      </w:r>
      <w:r w:rsidR="00D858BB">
        <w:t xml:space="preserve"> </w:t>
      </w:r>
      <w:r>
        <w:t xml:space="preserve">and/or; </w:t>
      </w:r>
      <w:r w:rsidR="00D858BB">
        <w:t xml:space="preserve">(ii) </w:t>
      </w:r>
      <w:r w:rsidR="00834968">
        <w:t>being</w:t>
      </w:r>
      <w:r w:rsidR="00D858BB">
        <w:t xml:space="preserve"> recommended by TI National Chapters</w:t>
      </w:r>
      <w:r>
        <w:t>; and/or</w:t>
      </w:r>
      <w:r w:rsidR="00D858BB">
        <w:t xml:space="preserve"> (iii) </w:t>
      </w:r>
      <w:r w:rsidR="00834968">
        <w:t>being</w:t>
      </w:r>
      <w:r w:rsidR="00D858BB">
        <w:t xml:space="preserve"> considered </w:t>
      </w:r>
      <w:r w:rsidR="00B96A11">
        <w:t>unique/cutting edge and/or</w:t>
      </w:r>
      <w:r w:rsidR="00213FFB">
        <w:t>;</w:t>
      </w:r>
      <w:r w:rsidR="00B96A11">
        <w:t xml:space="preserve"> </w:t>
      </w:r>
      <w:r w:rsidR="00834968">
        <w:t>(iv) aligning</w:t>
      </w:r>
      <w:r w:rsidR="00D858BB">
        <w:t xml:space="preserve"> with current</w:t>
      </w:r>
      <w:r w:rsidR="00834968">
        <w:t xml:space="preserve"> international</w:t>
      </w:r>
      <w:r w:rsidR="00D858BB">
        <w:t xml:space="preserve"> policy discussions on anti-corruption</w:t>
      </w:r>
      <w:r w:rsidR="00B96A11">
        <w:t>.</w:t>
      </w:r>
      <w:r w:rsidR="00D858BB">
        <w:t xml:space="preserve"> </w:t>
      </w:r>
      <w:r w:rsidR="00F9740F">
        <w:rPr>
          <w:noProof/>
        </w:rPr>
        <w:t xml:space="preserve"> </w:t>
      </w:r>
    </w:p>
    <w:p w14:paraId="4A0085D9" w14:textId="77777777" w:rsidR="0015106D" w:rsidRPr="00AF31BE" w:rsidRDefault="0015106D" w:rsidP="0015106D">
      <w:pPr>
        <w:pStyle w:val="Heading3"/>
        <w:spacing w:before="0"/>
        <w:rPr>
          <w:lang w:val="en-GB"/>
        </w:rPr>
      </w:pPr>
      <w:r w:rsidRPr="00AF31BE">
        <w:rPr>
          <w:lang w:val="en-GB"/>
        </w:rPr>
        <w:t>Strengthening anti-corruption frameworks</w:t>
      </w:r>
    </w:p>
    <w:p w14:paraId="2932F985" w14:textId="77777777" w:rsidR="005A0F9C" w:rsidRPr="005A0F9C" w:rsidRDefault="0015106D" w:rsidP="005A0F9C">
      <w:pPr>
        <w:pStyle w:val="ListParagraph"/>
        <w:numPr>
          <w:ilvl w:val="0"/>
          <w:numId w:val="15"/>
        </w:numPr>
        <w:rPr>
          <w:rStyle w:val="Hyperlink"/>
          <w:noProof/>
          <w:color w:val="000000"/>
        </w:rPr>
      </w:pPr>
      <w:r w:rsidRPr="00BE151E">
        <w:rPr>
          <w:b/>
          <w:noProof/>
        </w:rPr>
        <w:t>Amending the Constitution to fight corruption (Mexico)</w:t>
      </w:r>
      <w:r>
        <w:rPr>
          <w:noProof/>
        </w:rPr>
        <w:t xml:space="preserve">: </w:t>
      </w:r>
      <w:r>
        <w:t>In 2015 the Mexican Supreme Audit Instit</w:t>
      </w:r>
      <w:r w:rsidR="007F0ED8">
        <w:t>ution was significantly strength</w:t>
      </w:r>
      <w:r>
        <w:t xml:space="preserve">ened thanks to constitutional amendments enabling </w:t>
      </w:r>
      <w:r w:rsidR="00213FFB">
        <w:t xml:space="preserve">it to conduct </w:t>
      </w:r>
      <w:r>
        <w:t>aud</w:t>
      </w:r>
      <w:r w:rsidR="00213FFB">
        <w:t>its</w:t>
      </w:r>
      <w:r>
        <w:t xml:space="preserve"> throughout the fiscal year, audit federal resources transferred to subnational entities, investigat</w:t>
      </w:r>
      <w:r w:rsidR="00213FFB">
        <w:t>e</w:t>
      </w:r>
      <w:r>
        <w:t xml:space="preserve"> public officials, and propose sanctions to the administrative court. Meanwhile a group of civil society actors in Mexico has drafted a legislative bill</w:t>
      </w:r>
      <w:r w:rsidRPr="00213FFB">
        <w:rPr>
          <w:vertAlign w:val="superscript"/>
        </w:rPr>
        <w:footnoteReference w:id="7"/>
      </w:r>
      <w:r>
        <w:t xml:space="preserve"> proposing a number of additional ‘innovative’ anti-corruption features. These include: (a) the creation of a national public registry of sanctioned public servants to be consulted during all public sector selection or hiring processes; (b) a mechanism to share </w:t>
      </w:r>
      <w:r w:rsidR="00213FFB">
        <w:t>r</w:t>
      </w:r>
      <w:r>
        <w:t xml:space="preserve">ecovered </w:t>
      </w:r>
      <w:r w:rsidR="00213FFB">
        <w:t>assets</w:t>
      </w:r>
      <w:r>
        <w:t xml:space="preserve"> with whistleblowers; (c) a system that allows legal entities to self-report cases of corruption in exchange for reduced sanctions; and (d) a process to allow the </w:t>
      </w:r>
      <w:r w:rsidRPr="00E77D96">
        <w:t>complainant/accuser to be</w:t>
      </w:r>
      <w:r w:rsidR="00213FFB" w:rsidRPr="00E77D96">
        <w:t xml:space="preserve"> kept</w:t>
      </w:r>
      <w:r w:rsidRPr="00E77D96">
        <w:t xml:space="preserve"> informed about the case and to contest decisions.</w:t>
      </w:r>
      <w:r w:rsidR="00213FFB" w:rsidRPr="00E77D96">
        <w:br/>
      </w:r>
      <w:r w:rsidRPr="00E77D96">
        <w:rPr>
          <w:rStyle w:val="Hyperlink"/>
          <w:color w:val="auto"/>
        </w:rPr>
        <w:t>Non-OGP initiative</w:t>
      </w:r>
    </w:p>
    <w:p w14:paraId="6F392814" w14:textId="77777777" w:rsidR="005A0F9C" w:rsidRPr="005A0F9C" w:rsidRDefault="005A0F9C" w:rsidP="005A0F9C">
      <w:pPr>
        <w:pStyle w:val="ListParagraph"/>
        <w:rPr>
          <w:noProof/>
          <w:u w:val="single"/>
        </w:rPr>
      </w:pPr>
    </w:p>
    <w:p w14:paraId="55284145" w14:textId="3ADF1A6B" w:rsidR="008F55D3" w:rsidRPr="005A0F9C" w:rsidRDefault="008F55D3" w:rsidP="005A0F9C">
      <w:pPr>
        <w:pStyle w:val="ListParagraph"/>
        <w:numPr>
          <w:ilvl w:val="0"/>
          <w:numId w:val="15"/>
        </w:numPr>
        <w:rPr>
          <w:noProof/>
          <w:u w:val="single"/>
        </w:rPr>
      </w:pPr>
      <w:r w:rsidRPr="005A0F9C">
        <w:rPr>
          <w:b/>
          <w:noProof/>
        </w:rPr>
        <w:t>Coodinating anti-corruption</w:t>
      </w:r>
      <w:r w:rsidRPr="005A0F9C">
        <w:rPr>
          <w:b/>
        </w:rPr>
        <w:t xml:space="preserve"> across the government (United Kingdom)</w:t>
      </w:r>
      <w:r w:rsidRPr="00E77D96">
        <w:t>: As part of its second</w:t>
      </w:r>
      <w:r>
        <w:t xml:space="preserve"> OGP national action plan, the UK government brought together all of the UK’s anti-corruption efforts under one cross-government anti-corruption plan. This led to the creation of an anti-corruption unit in the Cabinet office and to sustained interagency coordination and communication on anti-corruption issues, linking up above all the domestic and international aspects of anti-corruption policy. This coordination of anti-corruption was supported by increased interface with civil society, which promoted the agenda.</w:t>
      </w:r>
    </w:p>
    <w:p w14:paraId="49508708" w14:textId="1372DD16" w:rsidR="008F55D3" w:rsidRPr="000E20F9" w:rsidRDefault="008F55D3" w:rsidP="005A0F9C">
      <w:pPr>
        <w:pStyle w:val="ListParagraph"/>
        <w:rPr>
          <w:noProof/>
          <w:highlight w:val="yellow"/>
        </w:rPr>
      </w:pPr>
      <w:r w:rsidRPr="00086E03">
        <w:rPr>
          <w:u w:val="single"/>
        </w:rPr>
        <w:lastRenderedPageBreak/>
        <w:t>OGP status</w:t>
      </w:r>
      <w:r w:rsidR="00B6702A" w:rsidRPr="000E20F9">
        <w:rPr>
          <w:noProof/>
        </w:rPr>
        <w:t>: Complete</w:t>
      </w:r>
    </w:p>
    <w:p w14:paraId="6E8E06E3" w14:textId="77777777" w:rsidR="0015106D" w:rsidRDefault="0015106D" w:rsidP="0015106D">
      <w:pPr>
        <w:pStyle w:val="Heading3"/>
        <w:spacing w:before="0"/>
        <w:rPr>
          <w:lang w:val="en-GB"/>
        </w:rPr>
      </w:pPr>
      <w:r>
        <w:rPr>
          <w:lang w:val="en-GB"/>
        </w:rPr>
        <w:t>Controlling bureaucratic corruption</w:t>
      </w:r>
    </w:p>
    <w:p w14:paraId="59AB1D50" w14:textId="77777777" w:rsidR="0015106D" w:rsidRDefault="0015106D" w:rsidP="0015106D">
      <w:pPr>
        <w:pStyle w:val="ListParagraph"/>
        <w:rPr>
          <w:noProof/>
        </w:rPr>
      </w:pPr>
    </w:p>
    <w:p w14:paraId="578E044C" w14:textId="078CFCFB" w:rsidR="00EF38E0" w:rsidRPr="00EF38E0" w:rsidRDefault="00EF38E0" w:rsidP="00EF38E0">
      <w:pPr>
        <w:pStyle w:val="ListParagraph"/>
        <w:numPr>
          <w:ilvl w:val="0"/>
          <w:numId w:val="17"/>
        </w:numPr>
        <w:ind w:left="709" w:hanging="447"/>
        <w:rPr>
          <w:noProof/>
          <w:u w:val="single"/>
        </w:rPr>
      </w:pPr>
      <w:r w:rsidRPr="00EF38E0">
        <w:rPr>
          <w:rFonts w:cs="Arial"/>
          <w:b/>
          <w:shd w:val="clear" w:color="auto" w:fill="FFFFFF"/>
        </w:rPr>
        <w:t>Random asset disclosure testing (Slovenia)</w:t>
      </w:r>
      <w:r>
        <w:rPr>
          <w:rFonts w:cs="Arial"/>
          <w:shd w:val="clear" w:color="auto" w:fill="FFFFFF"/>
        </w:rPr>
        <w:t xml:space="preserve"> </w:t>
      </w:r>
      <w:r w:rsidRPr="00EF38E0">
        <w:rPr>
          <w:rFonts w:cs="Arial"/>
          <w:shd w:val="clear" w:color="auto" w:fill="FFFFFF"/>
        </w:rPr>
        <w:t>The Integrity and Prevention of Corruption Act from 2010 made provision for asset declarations to be chosen for content verification through a random selection process to identify which cases reveal a disproportionate increase in wealth or a discrepancy between the contents of the declarations and information contained in external registries. In 2009, 33 percent of all declarations were s</w:t>
      </w:r>
      <w:r>
        <w:rPr>
          <w:rFonts w:cs="Arial"/>
          <w:shd w:val="clear" w:color="auto" w:fill="FFFFFF"/>
        </w:rPr>
        <w:t>elected to undergo verification</w:t>
      </w:r>
      <w:r w:rsidR="004650FB">
        <w:rPr>
          <w:rStyle w:val="FootnoteReference"/>
          <w:shd w:val="clear" w:color="auto" w:fill="FFFFFF"/>
        </w:rPr>
        <w:footnoteReference w:id="8"/>
      </w:r>
      <w:r w:rsidRPr="00EF38E0">
        <w:rPr>
          <w:rFonts w:cs="Arial"/>
          <w:shd w:val="clear" w:color="auto" w:fill="FFFFFF"/>
        </w:rPr>
        <w:t>.</w:t>
      </w:r>
    </w:p>
    <w:p w14:paraId="4B87E672" w14:textId="79B24C18" w:rsidR="00EF38E0" w:rsidRPr="00B11CCF" w:rsidRDefault="004650FB" w:rsidP="004650FB">
      <w:pPr>
        <w:pStyle w:val="ListParagraph"/>
        <w:ind w:left="709"/>
        <w:rPr>
          <w:noProof/>
        </w:rPr>
      </w:pPr>
      <w:r w:rsidRPr="000E20F9">
        <w:rPr>
          <w:rFonts w:cs="Arial"/>
          <w:u w:val="single"/>
          <w:shd w:val="clear" w:color="auto" w:fill="FFFFFF"/>
        </w:rPr>
        <w:t>Non-</w:t>
      </w:r>
      <w:r w:rsidR="00EF38E0" w:rsidRPr="000E20F9">
        <w:rPr>
          <w:rFonts w:cs="Arial"/>
          <w:u w:val="single"/>
          <w:shd w:val="clear" w:color="auto" w:fill="FFFFFF"/>
        </w:rPr>
        <w:t xml:space="preserve">OGP </w:t>
      </w:r>
      <w:r w:rsidRPr="000E20F9">
        <w:rPr>
          <w:rFonts w:cs="Arial"/>
          <w:u w:val="single"/>
          <w:shd w:val="clear" w:color="auto" w:fill="FFFFFF"/>
        </w:rPr>
        <w:t>initiative</w:t>
      </w:r>
    </w:p>
    <w:p w14:paraId="37A0723D" w14:textId="77777777" w:rsidR="00EF38E0" w:rsidRDefault="00EF38E0" w:rsidP="0015106D">
      <w:pPr>
        <w:pStyle w:val="ListParagraph"/>
        <w:rPr>
          <w:noProof/>
        </w:rPr>
      </w:pPr>
    </w:p>
    <w:p w14:paraId="0EE4558D" w14:textId="77777777" w:rsidR="0015106D" w:rsidRDefault="0015106D" w:rsidP="0015106D">
      <w:pPr>
        <w:pStyle w:val="ListParagraph"/>
        <w:numPr>
          <w:ilvl w:val="0"/>
          <w:numId w:val="11"/>
        </w:numPr>
      </w:pPr>
      <w:r w:rsidRPr="004E0ABF">
        <w:rPr>
          <w:b/>
        </w:rPr>
        <w:t>Supreme Audit Institutions engaging with civil society (Argentina</w:t>
      </w:r>
      <w:r>
        <w:rPr>
          <w:b/>
        </w:rPr>
        <w:t xml:space="preserve"> and Ghana</w:t>
      </w:r>
      <w:r w:rsidRPr="004E0ABF">
        <w:rPr>
          <w:b/>
        </w:rPr>
        <w:t>)</w:t>
      </w:r>
      <w:r>
        <w:t>:. Argentin</w:t>
      </w:r>
      <w:r w:rsidR="00DF40E2">
        <w:t>a’s General Audit Office (AGN)</w:t>
      </w:r>
      <w:r>
        <w:t xml:space="preserve"> has conducted a Participatory Planning Programme to incorporate feedback from civil society into the audit plan and to address CSOs’ challenges and demands</w:t>
      </w:r>
      <w:r>
        <w:rPr>
          <w:rStyle w:val="FootnoteReference"/>
        </w:rPr>
        <w:footnoteReference w:id="9"/>
      </w:r>
      <w:r>
        <w:t xml:space="preserve">. Meanwhile, the Ghanaian Government plans to include CSO representatives and independent professionals in Audit Report Implementation Committees (ARICs) to more effectively implement the recommendations of audit reports. While this represents an innovative approach, officials cannot carry out this commitment until the government has amended the Audit Service Act, 2000. </w:t>
      </w:r>
    </w:p>
    <w:p w14:paraId="68B2BAB7" w14:textId="7BFFE24B" w:rsidR="0015106D" w:rsidRDefault="00E6221B" w:rsidP="0015106D">
      <w:pPr>
        <w:pStyle w:val="ListParagraph"/>
      </w:pPr>
      <w:r>
        <w:rPr>
          <w:u w:val="single"/>
        </w:rPr>
        <w:t>Non-OGP initiative (Argentina)</w:t>
      </w:r>
      <w:r w:rsidR="00DD59FD">
        <w:rPr>
          <w:u w:val="single"/>
        </w:rPr>
        <w:br/>
      </w:r>
      <w:r w:rsidR="0015106D" w:rsidRPr="004E0ABF">
        <w:rPr>
          <w:u w:val="single"/>
        </w:rPr>
        <w:t>OGP Status</w:t>
      </w:r>
      <w:r w:rsidR="006D39BD">
        <w:rPr>
          <w:u w:val="single"/>
        </w:rPr>
        <w:t xml:space="preserve"> (Ghana)</w:t>
      </w:r>
      <w:r w:rsidR="006D39BD">
        <w:t>: Not started</w:t>
      </w:r>
      <w:r>
        <w:t xml:space="preserve"> </w:t>
      </w:r>
    </w:p>
    <w:p w14:paraId="2BB1FD09" w14:textId="77777777" w:rsidR="0015106D" w:rsidRDefault="0015106D" w:rsidP="0015106D">
      <w:pPr>
        <w:pStyle w:val="ListParagraph"/>
        <w:rPr>
          <w:noProof/>
        </w:rPr>
      </w:pPr>
    </w:p>
    <w:p w14:paraId="66451417" w14:textId="77777777" w:rsidR="0015106D" w:rsidRDefault="0015106D" w:rsidP="00AA26C7">
      <w:pPr>
        <w:pStyle w:val="ListParagraph"/>
        <w:numPr>
          <w:ilvl w:val="0"/>
          <w:numId w:val="11"/>
        </w:numPr>
        <w:spacing w:after="160" w:line="259" w:lineRule="auto"/>
        <w:rPr>
          <w:noProof/>
        </w:rPr>
      </w:pPr>
      <w:r w:rsidRPr="00EE4A95">
        <w:rPr>
          <w:b/>
        </w:rPr>
        <w:t>Ensuring transparency of public contracts (various countries)</w:t>
      </w:r>
      <w:r>
        <w:t xml:space="preserve">: </w:t>
      </w:r>
      <w:r w:rsidRPr="00942807">
        <w:t xml:space="preserve">The Open Contracting Data Standard (OCDS) </w:t>
      </w:r>
      <w:r>
        <w:t xml:space="preserve">– developed by the Open Contracting Partnership - </w:t>
      </w:r>
      <w:r w:rsidRPr="00942807">
        <w:t xml:space="preserve">enables disclosure of data and documents at all stages of the contracting process </w:t>
      </w:r>
      <w:r>
        <w:t>through</w:t>
      </w:r>
      <w:r w:rsidRPr="00942807">
        <w:t xml:space="preserve"> a common data model.</w:t>
      </w:r>
      <w:r>
        <w:t xml:space="preserve"> To date, the following countries have made commitments to adopt the standard:</w:t>
      </w:r>
      <w:r w:rsidRPr="00942807">
        <w:t xml:space="preserve"> Canada, Colombia, </w:t>
      </w:r>
      <w:r>
        <w:t>Mexico, Paraguay, Romania, Moldova, UK, Ukraine, Vietnam and Zambia.</w:t>
      </w:r>
      <w:r>
        <w:rPr>
          <w:rStyle w:val="FootnoteReference"/>
        </w:rPr>
        <w:footnoteReference w:id="10"/>
      </w:r>
      <w:r>
        <w:t xml:space="preserve"> Meanwhile, Slovakia’s new procurement regulation </w:t>
      </w:r>
      <w:r w:rsidRPr="00D16E45">
        <w:t>requires al</w:t>
      </w:r>
      <w:r>
        <w:t>l public contracts, with</w:t>
      </w:r>
      <w:r w:rsidR="006D39BD">
        <w:t xml:space="preserve"> only</w:t>
      </w:r>
      <w:r w:rsidRPr="00D16E45">
        <w:t xml:space="preserve"> limited exceptions, to be published online</w:t>
      </w:r>
      <w:r>
        <w:t>. T</w:t>
      </w:r>
      <w:r w:rsidRPr="00D16E45">
        <w:t>o avoid secret contracts, any unpublished contracts are declared</w:t>
      </w:r>
      <w:r>
        <w:t xml:space="preserve"> </w:t>
      </w:r>
      <w:r w:rsidRPr="00D16E45">
        <w:t>unenforceable</w:t>
      </w:r>
      <w:r>
        <w:rPr>
          <w:rStyle w:val="FootnoteReference"/>
        </w:rPr>
        <w:footnoteReference w:id="11"/>
      </w:r>
      <w:r w:rsidRPr="00D16E45">
        <w:t>.</w:t>
      </w:r>
      <w:r>
        <w:br/>
      </w:r>
      <w:r w:rsidRPr="00EE4A95">
        <w:rPr>
          <w:rStyle w:val="Hyperlink"/>
          <w:color w:val="auto"/>
        </w:rPr>
        <w:t>Non-OGP initiatives</w:t>
      </w:r>
    </w:p>
    <w:p w14:paraId="03209DB0" w14:textId="77777777" w:rsidR="0015106D" w:rsidRDefault="0015106D" w:rsidP="0015106D">
      <w:pPr>
        <w:pStyle w:val="ListParagraph"/>
        <w:rPr>
          <w:noProof/>
        </w:rPr>
      </w:pPr>
    </w:p>
    <w:p w14:paraId="154E088F" w14:textId="77777777" w:rsidR="0015106D" w:rsidRDefault="0015106D" w:rsidP="0015106D">
      <w:pPr>
        <w:pStyle w:val="ListParagraph"/>
        <w:numPr>
          <w:ilvl w:val="0"/>
          <w:numId w:val="11"/>
        </w:numPr>
        <w:rPr>
          <w:noProof/>
        </w:rPr>
      </w:pPr>
      <w:r>
        <w:rPr>
          <w:b/>
          <w:noProof/>
        </w:rPr>
        <w:t>Using open data to curb corruption (G20, TI)</w:t>
      </w:r>
      <w:r>
        <w:rPr>
          <w:noProof/>
        </w:rPr>
        <w:t>: The G20 Anti-Corruption Working Group (ACWG) established open data as a priority measure to tackle corruption. Ac</w:t>
      </w:r>
      <w:r w:rsidR="006D39BD">
        <w:rPr>
          <w:noProof/>
        </w:rPr>
        <w:t>c</w:t>
      </w:r>
      <w:r>
        <w:rPr>
          <w:noProof/>
        </w:rPr>
        <w:t>ordingly they developed the G20 Open Data Principles</w:t>
      </w:r>
      <w:r>
        <w:rPr>
          <w:rStyle w:val="FootnoteReference"/>
          <w:noProof/>
        </w:rPr>
        <w:footnoteReference w:id="12"/>
      </w:r>
      <w:r>
        <w:rPr>
          <w:noProof/>
        </w:rPr>
        <w:t xml:space="preserve"> as a first step to leverage open data in enabling a culture of transparency and accountability to prevent corruption. In the same vein, TI UK along with other partners are currently exploring the best ways open data can be used to fight corruption</w:t>
      </w:r>
      <w:r>
        <w:rPr>
          <w:rStyle w:val="FootnoteReference"/>
          <w:noProof/>
        </w:rPr>
        <w:footnoteReference w:id="13"/>
      </w:r>
      <w:r>
        <w:rPr>
          <w:noProof/>
        </w:rPr>
        <w:t>. Both initiatives provide a platform for countries to develop anti-corruption open data commitments.</w:t>
      </w:r>
    </w:p>
    <w:p w14:paraId="6DAB2273" w14:textId="77777777" w:rsidR="0015106D" w:rsidRDefault="0015106D" w:rsidP="0015106D">
      <w:pPr>
        <w:pStyle w:val="ListParagraph"/>
        <w:rPr>
          <w:rStyle w:val="Hyperlink"/>
          <w:color w:val="auto"/>
        </w:rPr>
      </w:pPr>
      <w:r>
        <w:rPr>
          <w:rStyle w:val="Hyperlink"/>
          <w:color w:val="auto"/>
        </w:rPr>
        <w:t>Non-OGP initiatives</w:t>
      </w:r>
    </w:p>
    <w:p w14:paraId="59559814" w14:textId="77777777" w:rsidR="00213FFB" w:rsidRDefault="00213FFB" w:rsidP="0015106D">
      <w:pPr>
        <w:pStyle w:val="ListParagraph"/>
        <w:rPr>
          <w:rStyle w:val="Hyperlink"/>
          <w:color w:val="auto"/>
        </w:rPr>
      </w:pPr>
    </w:p>
    <w:p w14:paraId="43B80C4F" w14:textId="77777777" w:rsidR="00213FFB" w:rsidRDefault="00213FFB" w:rsidP="00213FFB">
      <w:pPr>
        <w:pStyle w:val="ListParagraph"/>
        <w:numPr>
          <w:ilvl w:val="0"/>
          <w:numId w:val="11"/>
        </w:numPr>
        <w:rPr>
          <w:noProof/>
        </w:rPr>
      </w:pPr>
      <w:r>
        <w:rPr>
          <w:b/>
          <w:noProof/>
        </w:rPr>
        <w:t>Improving citizen oversight of public administration (Colombia)</w:t>
      </w:r>
      <w:r>
        <w:rPr>
          <w:noProof/>
        </w:rPr>
        <w:t xml:space="preserve">: </w:t>
      </w:r>
      <w:r>
        <w:t>The Government of Colombia has commit</w:t>
      </w:r>
      <w:r w:rsidR="00DF40E2">
        <w:t>t</w:t>
      </w:r>
      <w:r>
        <w:t xml:space="preserve">ed to establish an anticorruption observatory to analyse government </w:t>
      </w:r>
      <w:r>
        <w:lastRenderedPageBreak/>
        <w:t>information on corruption prevention activities, administrative management, and complaints handling. It should be noted that, according to the IRM report, it is not clear whether citizens or CSOs with anticorruption experience</w:t>
      </w:r>
      <w:r>
        <w:rPr>
          <w:noProof/>
        </w:rPr>
        <w:t xml:space="preserve"> </w:t>
      </w:r>
      <w:r w:rsidR="00DF40E2">
        <w:rPr>
          <w:noProof/>
        </w:rPr>
        <w:t>are allowed to play</w:t>
      </w:r>
      <w:r>
        <w:rPr>
          <w:noProof/>
        </w:rPr>
        <w:t xml:space="preserve"> an active ro</w:t>
      </w:r>
      <w:r w:rsidR="00DF40E2">
        <w:rPr>
          <w:noProof/>
        </w:rPr>
        <w:t>le in the observatory</w:t>
      </w:r>
      <w:r>
        <w:rPr>
          <w:rStyle w:val="FootnoteReference"/>
          <w:noProof/>
        </w:rPr>
        <w:footnoteReference w:id="14"/>
      </w:r>
      <w:r>
        <w:rPr>
          <w:noProof/>
        </w:rPr>
        <w:t xml:space="preserve">. </w:t>
      </w:r>
    </w:p>
    <w:p w14:paraId="06BD12C3" w14:textId="77777777" w:rsidR="00213FFB" w:rsidRDefault="00213FFB" w:rsidP="00213FFB">
      <w:pPr>
        <w:pStyle w:val="ListParagraph"/>
        <w:rPr>
          <w:noProof/>
        </w:rPr>
      </w:pPr>
      <w:r>
        <w:rPr>
          <w:noProof/>
          <w:u w:val="single"/>
        </w:rPr>
        <w:t>OGP Status</w:t>
      </w:r>
      <w:r>
        <w:rPr>
          <w:noProof/>
        </w:rPr>
        <w:t>: Substantial completion</w:t>
      </w:r>
    </w:p>
    <w:p w14:paraId="00FB45F7" w14:textId="77777777" w:rsidR="0061013C" w:rsidRDefault="0061013C" w:rsidP="00213FFB">
      <w:pPr>
        <w:pStyle w:val="ListParagraph"/>
        <w:rPr>
          <w:noProof/>
        </w:rPr>
      </w:pPr>
    </w:p>
    <w:p w14:paraId="42B7CDFA" w14:textId="10A7449D" w:rsidR="0061013C" w:rsidRDefault="00DD59FD" w:rsidP="00346DDD">
      <w:pPr>
        <w:pStyle w:val="ListParagraph"/>
        <w:numPr>
          <w:ilvl w:val="0"/>
          <w:numId w:val="11"/>
        </w:numPr>
        <w:rPr>
          <w:noProof/>
        </w:rPr>
      </w:pPr>
      <w:r>
        <w:rPr>
          <w:b/>
          <w:noProof/>
        </w:rPr>
        <w:t>Enabling citize</w:t>
      </w:r>
      <w:r w:rsidR="00346DDD">
        <w:rPr>
          <w:b/>
          <w:noProof/>
        </w:rPr>
        <w:t xml:space="preserve">ns to report corruption </w:t>
      </w:r>
      <w:r w:rsidR="0061013C">
        <w:rPr>
          <w:b/>
          <w:noProof/>
        </w:rPr>
        <w:t>(Albania)</w:t>
      </w:r>
      <w:r w:rsidR="00346DDD">
        <w:rPr>
          <w:b/>
          <w:noProof/>
        </w:rPr>
        <w:t xml:space="preserve">: </w:t>
      </w:r>
      <w:r w:rsidR="00346DDD" w:rsidRPr="00346DDD">
        <w:rPr>
          <w:noProof/>
        </w:rPr>
        <w:t>The Government of Albania has established a standardized procedure for citizens to report corruption through a single portal</w:t>
      </w:r>
      <w:r w:rsidR="000E7F13">
        <w:rPr>
          <w:rStyle w:val="FootnoteReference"/>
          <w:noProof/>
        </w:rPr>
        <w:footnoteReference w:id="15"/>
      </w:r>
      <w:r w:rsidR="00346DDD" w:rsidRPr="00346DDD">
        <w:rPr>
          <w:noProof/>
        </w:rPr>
        <w:t>. Th</w:t>
      </w:r>
      <w:r w:rsidR="000E7F13">
        <w:rPr>
          <w:noProof/>
        </w:rPr>
        <w:t>rough the</w:t>
      </w:r>
      <w:r w:rsidR="00346DDD" w:rsidRPr="00346DDD">
        <w:rPr>
          <w:noProof/>
        </w:rPr>
        <w:t xml:space="preserve"> portal, which was launched in February 2015, </w:t>
      </w:r>
      <w:r w:rsidR="000E7F13">
        <w:rPr>
          <w:noProof/>
        </w:rPr>
        <w:t>c</w:t>
      </w:r>
      <w:r w:rsidR="00346DDD" w:rsidRPr="00346DDD">
        <w:rPr>
          <w:noProof/>
        </w:rPr>
        <w:t xml:space="preserve">itizens may choose to disclose their identity or submit claims anonymously. Complainants can trace progress of their report submitted at the portal, provided they are not anonymous. The number of reports reached close to 7,000 entries by the end of June 2015.  However, there is limited information on the outcome of the reported cases and it has been suggested that the lack of information on concrete measures taken as a result of complaints may lead to public </w:t>
      </w:r>
      <w:r>
        <w:rPr>
          <w:noProof/>
        </w:rPr>
        <w:t>apathy and mis</w:t>
      </w:r>
      <w:r w:rsidR="00346DDD" w:rsidRPr="00346DDD">
        <w:rPr>
          <w:noProof/>
        </w:rPr>
        <w:t>trust in the new system.</w:t>
      </w:r>
      <w:r w:rsidR="000E7F13">
        <w:rPr>
          <w:noProof/>
        </w:rPr>
        <w:br/>
      </w:r>
      <w:r w:rsidR="000E7F13">
        <w:rPr>
          <w:noProof/>
          <w:u w:val="single"/>
        </w:rPr>
        <w:t>OGP Status</w:t>
      </w:r>
      <w:r w:rsidR="000E7F13">
        <w:rPr>
          <w:noProof/>
        </w:rPr>
        <w:t>: Substantial compleiton</w:t>
      </w:r>
    </w:p>
    <w:p w14:paraId="1E857113" w14:textId="77777777" w:rsidR="00213FFB" w:rsidRDefault="00213FFB" w:rsidP="0015106D">
      <w:pPr>
        <w:pStyle w:val="ListParagraph"/>
        <w:rPr>
          <w:noProof/>
          <w:u w:val="single"/>
        </w:rPr>
      </w:pPr>
    </w:p>
    <w:p w14:paraId="004F9C28" w14:textId="77777777" w:rsidR="0015106D" w:rsidRDefault="0015106D" w:rsidP="0015106D">
      <w:pPr>
        <w:pStyle w:val="Heading3"/>
        <w:spacing w:before="0"/>
        <w:rPr>
          <w:lang w:val="en-GB"/>
        </w:rPr>
      </w:pPr>
      <w:r>
        <w:rPr>
          <w:lang w:val="en-GB"/>
        </w:rPr>
        <w:t>Controlling political corruption</w:t>
      </w:r>
    </w:p>
    <w:p w14:paraId="09264B21" w14:textId="77777777" w:rsidR="0015106D" w:rsidRDefault="0015106D" w:rsidP="0015106D">
      <w:pPr>
        <w:pStyle w:val="ListParagraph"/>
        <w:numPr>
          <w:ilvl w:val="0"/>
          <w:numId w:val="12"/>
        </w:numPr>
        <w:rPr>
          <w:rStyle w:val="Hyperlink"/>
          <w:color w:val="auto"/>
        </w:rPr>
      </w:pPr>
      <w:r w:rsidRPr="00AF31BE">
        <w:rPr>
          <w:rStyle w:val="Hyperlink"/>
          <w:b/>
          <w:color w:val="auto"/>
          <w:u w:val="none"/>
        </w:rPr>
        <w:t>Enforcing parliamentary ethics (UK, US</w:t>
      </w:r>
      <w:r w:rsidRPr="00DF40E2">
        <w:rPr>
          <w:rStyle w:val="Hyperlink"/>
          <w:b/>
          <w:color w:val="auto"/>
          <w:u w:val="none"/>
        </w:rPr>
        <w:t>A</w:t>
      </w:r>
      <w:r w:rsidRPr="00AF31BE">
        <w:rPr>
          <w:rStyle w:val="Hyperlink"/>
          <w:b/>
          <w:color w:val="auto"/>
          <w:u w:val="none"/>
        </w:rPr>
        <w:t xml:space="preserve">, EU): </w:t>
      </w:r>
      <w:r w:rsidRPr="00AF31BE">
        <w:rPr>
          <w:rStyle w:val="Hyperlink"/>
          <w:color w:val="auto"/>
          <w:u w:val="none"/>
        </w:rPr>
        <w:t xml:space="preserve">The codes of conduct for MPs of the UK and the </w:t>
      </w:r>
      <w:r w:rsidRPr="006D39BD">
        <w:rPr>
          <w:rStyle w:val="Hyperlink"/>
          <w:color w:val="auto"/>
          <w:u w:val="none"/>
        </w:rPr>
        <w:t>USA</w:t>
      </w:r>
      <w:r w:rsidRPr="00AF31BE">
        <w:rPr>
          <w:rStyle w:val="Hyperlink"/>
          <w:color w:val="auto"/>
          <w:u w:val="none"/>
        </w:rPr>
        <w:t xml:space="preserve"> are often referred to as good practices as they cover most of the ethical issues concerning parliamentarians</w:t>
      </w:r>
      <w:r w:rsidR="006D39BD">
        <w:rPr>
          <w:rStyle w:val="FootnoteReference"/>
          <w:color w:val="auto"/>
        </w:rPr>
        <w:footnoteReference w:id="16"/>
      </w:r>
      <w:r w:rsidRPr="00AF31BE">
        <w:rPr>
          <w:rStyle w:val="Hyperlink"/>
          <w:color w:val="auto"/>
          <w:u w:val="none"/>
        </w:rPr>
        <w:t>. They also provide for clear sanctions and an independent authority/office responsible not only for overseeing the code but also for advising MPs on ethical issues. The recently approved Code of Conduct for Members of the European Parliament is also considered to be robust and comprehensive, although its effectiveness is still to be assessed</w:t>
      </w:r>
      <w:r w:rsidRPr="00AF31BE">
        <w:rPr>
          <w:rStyle w:val="FootnoteReference"/>
          <w:color w:val="auto"/>
        </w:rPr>
        <w:footnoteReference w:id="17"/>
      </w:r>
      <w:r w:rsidRPr="00AF31BE">
        <w:rPr>
          <w:rStyle w:val="Hyperlink"/>
          <w:color w:val="auto"/>
          <w:u w:val="none"/>
        </w:rPr>
        <w:t>.</w:t>
      </w:r>
      <w:r>
        <w:rPr>
          <w:rStyle w:val="Hyperlink"/>
          <w:color w:val="auto"/>
        </w:rPr>
        <w:t xml:space="preserve"> </w:t>
      </w:r>
      <w:r>
        <w:rPr>
          <w:color w:val="auto"/>
          <w:u w:val="single"/>
        </w:rPr>
        <w:br/>
      </w:r>
      <w:r>
        <w:rPr>
          <w:rStyle w:val="Hyperlink"/>
          <w:color w:val="auto"/>
        </w:rPr>
        <w:t>Non-OGP initiative</w:t>
      </w:r>
      <w:r w:rsidR="00252450">
        <w:rPr>
          <w:rStyle w:val="Hyperlink"/>
          <w:color w:val="auto"/>
        </w:rPr>
        <w:t>s</w:t>
      </w:r>
    </w:p>
    <w:p w14:paraId="1D1CE4FE" w14:textId="77777777" w:rsidR="0015106D" w:rsidRDefault="0015106D" w:rsidP="0015106D">
      <w:pPr>
        <w:pStyle w:val="ListParagraph"/>
        <w:rPr>
          <w:rStyle w:val="Hyperlink"/>
          <w:color w:val="auto"/>
        </w:rPr>
      </w:pPr>
    </w:p>
    <w:p w14:paraId="7889A85F" w14:textId="77777777" w:rsidR="0015106D" w:rsidRPr="005B59E4" w:rsidRDefault="0015106D" w:rsidP="00AA26C7">
      <w:pPr>
        <w:pStyle w:val="ListParagraph"/>
        <w:numPr>
          <w:ilvl w:val="0"/>
          <w:numId w:val="12"/>
        </w:numPr>
        <w:spacing w:after="0"/>
        <w:rPr>
          <w:rStyle w:val="Hyperlink"/>
          <w:color w:val="auto"/>
        </w:rPr>
      </w:pPr>
      <w:r w:rsidRPr="005B59E4">
        <w:rPr>
          <w:rStyle w:val="Hyperlink"/>
          <w:b/>
          <w:color w:val="auto"/>
          <w:u w:val="none"/>
        </w:rPr>
        <w:t xml:space="preserve">Introducing the legislative footprint to track </w:t>
      </w:r>
      <w:r w:rsidRPr="005B59E4">
        <w:rPr>
          <w:rFonts w:eastAsia="Times New Roman" w:cs="Arial"/>
          <w:b/>
          <w:color w:val="auto"/>
          <w:sz w:val="20"/>
          <w:szCs w:val="20"/>
          <w:lang w:val="en-GB" w:eastAsia="en-GB"/>
        </w:rPr>
        <w:t xml:space="preserve">lobbyists’ influence on legislation (Ireland): </w:t>
      </w:r>
      <w:r w:rsidRPr="005B59E4">
        <w:rPr>
          <w:rStyle w:val="Hyperlink"/>
          <w:color w:val="auto"/>
          <w:u w:val="none"/>
        </w:rPr>
        <w:t>Ireland has committed to introducing a ‘legislative footprint’</w:t>
      </w:r>
      <w:r w:rsidR="006D39BD">
        <w:rPr>
          <w:rStyle w:val="FootnoteReference"/>
          <w:color w:val="auto"/>
        </w:rPr>
        <w:footnoteReference w:id="18"/>
      </w:r>
      <w:r w:rsidRPr="005B59E4">
        <w:rPr>
          <w:rStyle w:val="Hyperlink"/>
          <w:color w:val="auto"/>
          <w:u w:val="none"/>
        </w:rPr>
        <w:t xml:space="preserve"> in relation to current legislative initiatives, </w:t>
      </w:r>
      <w:r w:rsidR="006D39BD" w:rsidRPr="005B59E4">
        <w:rPr>
          <w:rStyle w:val="Hyperlink"/>
          <w:color w:val="auto"/>
          <w:u w:val="none"/>
        </w:rPr>
        <w:t xml:space="preserve">to be </w:t>
      </w:r>
      <w:r w:rsidRPr="005B59E4">
        <w:rPr>
          <w:rStyle w:val="Hyperlink"/>
          <w:color w:val="auto"/>
          <w:u w:val="none"/>
        </w:rPr>
        <w:t>published on each Department’s website</w:t>
      </w:r>
      <w:r w:rsidR="005B59E4">
        <w:rPr>
          <w:rStyle w:val="Hyperlink"/>
          <w:color w:val="auto"/>
          <w:u w:val="none"/>
        </w:rPr>
        <w:t>,</w:t>
      </w:r>
      <w:r w:rsidRPr="005B59E4">
        <w:rPr>
          <w:rStyle w:val="Hyperlink"/>
          <w:color w:val="auto"/>
          <w:u w:val="none"/>
        </w:rPr>
        <w:t xml:space="preserve"> including details of general schemes, consultations, draft Bills, pre-legislative scrutiny by Committees, submissions received and meetings held with stakeholders, etc.</w:t>
      </w:r>
      <w:r w:rsidRPr="00AF31BE">
        <w:rPr>
          <w:rStyle w:val="FootnoteReference"/>
          <w:color w:val="auto"/>
        </w:rPr>
        <w:footnoteReference w:id="19"/>
      </w:r>
      <w:r w:rsidR="006D39BD" w:rsidRPr="005B59E4">
        <w:rPr>
          <w:rStyle w:val="Hyperlink"/>
          <w:color w:val="auto"/>
          <w:u w:val="none"/>
        </w:rPr>
        <w:t xml:space="preserve"> </w:t>
      </w:r>
      <w:r w:rsidR="005B59E4" w:rsidRPr="005B59E4">
        <w:rPr>
          <w:rStyle w:val="Hyperlink"/>
          <w:color w:val="auto"/>
          <w:u w:val="none"/>
        </w:rPr>
        <w:t xml:space="preserve">The legislative footprint allows civil society and others </w:t>
      </w:r>
      <w:r w:rsidR="006D39BD" w:rsidRPr="005B59E4">
        <w:rPr>
          <w:rStyle w:val="Hyperlink"/>
          <w:color w:val="auto"/>
          <w:u w:val="none"/>
        </w:rPr>
        <w:t xml:space="preserve">to better track and monitor the real level of influence of lobbyists on the decisions that are taken by </w:t>
      </w:r>
      <w:r w:rsidR="005B59E4" w:rsidRPr="005B59E4">
        <w:rPr>
          <w:rStyle w:val="Hyperlink"/>
          <w:color w:val="auto"/>
          <w:u w:val="none"/>
        </w:rPr>
        <w:t>democratically-</w:t>
      </w:r>
      <w:r w:rsidR="006D39BD" w:rsidRPr="005B59E4">
        <w:rPr>
          <w:rStyle w:val="Hyperlink"/>
          <w:color w:val="auto"/>
          <w:u w:val="none"/>
        </w:rPr>
        <w:t>elected representatives</w:t>
      </w:r>
      <w:r w:rsidR="005B59E4">
        <w:rPr>
          <w:rStyle w:val="Hyperlink"/>
          <w:color w:val="auto"/>
          <w:u w:val="none"/>
        </w:rPr>
        <w:t xml:space="preserve">. </w:t>
      </w:r>
      <w:r w:rsidRPr="005B59E4">
        <w:rPr>
          <w:rStyle w:val="Hyperlink"/>
          <w:color w:val="auto"/>
          <w:u w:val="none"/>
        </w:rPr>
        <w:t>From the civil society side, TI EU and TI France are advocating for introducing legislative footprints in EU Institutions and in France respectively, and have created online monitoring tools to bring this information to a wider public</w:t>
      </w:r>
      <w:r w:rsidR="006D39BD" w:rsidRPr="005B59E4">
        <w:rPr>
          <w:rStyle w:val="Hyperlink"/>
          <w:color w:val="auto"/>
          <w:u w:val="none"/>
        </w:rPr>
        <w:t>.</w:t>
      </w:r>
      <w:r w:rsidRPr="005B59E4">
        <w:rPr>
          <w:color w:val="auto"/>
          <w:u w:val="single"/>
        </w:rPr>
        <w:br/>
      </w:r>
      <w:r w:rsidRPr="005B59E4">
        <w:rPr>
          <w:rStyle w:val="Hyperlink"/>
          <w:color w:val="auto"/>
        </w:rPr>
        <w:t>OGP Status</w:t>
      </w:r>
      <w:r w:rsidRPr="00252450">
        <w:rPr>
          <w:rStyle w:val="Hyperlink"/>
          <w:color w:val="auto"/>
          <w:u w:val="none"/>
        </w:rPr>
        <w:t>: Limited completion</w:t>
      </w:r>
    </w:p>
    <w:p w14:paraId="540D39BC" w14:textId="77777777" w:rsidR="0015106D" w:rsidRDefault="0015106D" w:rsidP="0015106D">
      <w:pPr>
        <w:spacing w:after="0"/>
        <w:rPr>
          <w:rStyle w:val="Hyperlink"/>
          <w:color w:val="auto"/>
        </w:rPr>
      </w:pPr>
    </w:p>
    <w:p w14:paraId="1A6CD537" w14:textId="77777777" w:rsidR="0015106D" w:rsidRPr="00F66B59" w:rsidRDefault="0015106D" w:rsidP="0015106D">
      <w:pPr>
        <w:pStyle w:val="ListParagraph"/>
        <w:numPr>
          <w:ilvl w:val="0"/>
          <w:numId w:val="12"/>
        </w:numPr>
        <w:spacing w:after="0"/>
        <w:rPr>
          <w:rStyle w:val="Hyperlink"/>
          <w:color w:val="auto"/>
          <w:u w:val="none"/>
        </w:rPr>
      </w:pPr>
      <w:r w:rsidRPr="00AF31BE">
        <w:rPr>
          <w:rStyle w:val="Hyperlink"/>
          <w:b/>
          <w:color w:val="auto"/>
          <w:u w:val="none"/>
        </w:rPr>
        <w:t>Regulating political finance (Japan)</w:t>
      </w:r>
      <w:r w:rsidRPr="00AF31BE">
        <w:rPr>
          <w:rStyle w:val="Hyperlink"/>
          <w:color w:val="auto"/>
          <w:u w:val="none"/>
        </w:rPr>
        <w:t xml:space="preserve">: Japan represents an example of a country which drastically changed its political finance regime in response to public pressure to tackle corruption. The introduction of public subsidies, stricter disclosure requirements and </w:t>
      </w:r>
      <w:r w:rsidRPr="00F66B59">
        <w:rPr>
          <w:rStyle w:val="Hyperlink"/>
          <w:color w:val="auto"/>
          <w:u w:val="none"/>
        </w:rPr>
        <w:t>increased contribution and spending limits have strengthened political competition, cut electoral costs, and produced more party-centered campaigns</w:t>
      </w:r>
      <w:r w:rsidRPr="00F66B59">
        <w:rPr>
          <w:rStyle w:val="FootnoteReference"/>
          <w:color w:val="auto"/>
        </w:rPr>
        <w:footnoteReference w:id="20"/>
      </w:r>
      <w:r w:rsidRPr="00F66B59">
        <w:rPr>
          <w:rStyle w:val="FootnoteReference"/>
          <w:color w:val="auto"/>
        </w:rPr>
        <w:footnoteReference w:id="21"/>
      </w:r>
      <w:r w:rsidRPr="00F66B59">
        <w:rPr>
          <w:rStyle w:val="Hyperlink"/>
          <w:color w:val="auto"/>
          <w:u w:val="none"/>
        </w:rPr>
        <w:t>.</w:t>
      </w:r>
    </w:p>
    <w:p w14:paraId="5C3C5261" w14:textId="77777777" w:rsidR="0015106D" w:rsidRPr="00F66B59" w:rsidRDefault="0015106D" w:rsidP="0015106D">
      <w:pPr>
        <w:pStyle w:val="ListParagraph"/>
        <w:spacing w:after="0"/>
        <w:rPr>
          <w:rStyle w:val="Hyperlink"/>
          <w:color w:val="auto"/>
        </w:rPr>
      </w:pPr>
      <w:r w:rsidRPr="00F66B59">
        <w:rPr>
          <w:rStyle w:val="Hyperlink"/>
          <w:color w:val="auto"/>
        </w:rPr>
        <w:lastRenderedPageBreak/>
        <w:t>Non-OGP Initiative</w:t>
      </w:r>
    </w:p>
    <w:p w14:paraId="23CBCD9A" w14:textId="77777777" w:rsidR="00F66B59" w:rsidRPr="00F66B59" w:rsidRDefault="00F66B59" w:rsidP="0015106D">
      <w:pPr>
        <w:spacing w:after="0"/>
        <w:rPr>
          <w:rStyle w:val="Hyperlink"/>
          <w:color w:val="auto"/>
        </w:rPr>
      </w:pPr>
    </w:p>
    <w:p w14:paraId="2A1641D9" w14:textId="46A81886" w:rsidR="0015106D" w:rsidRPr="000E20F9" w:rsidRDefault="00F66B59" w:rsidP="00F66B59">
      <w:pPr>
        <w:pStyle w:val="ListParagraph"/>
        <w:numPr>
          <w:ilvl w:val="0"/>
          <w:numId w:val="20"/>
        </w:numPr>
        <w:spacing w:after="0"/>
        <w:ind w:left="709"/>
        <w:rPr>
          <w:rStyle w:val="Hyperlink"/>
          <w:color w:val="auto"/>
        </w:rPr>
      </w:pPr>
      <w:r w:rsidRPr="00DD59FD">
        <w:rPr>
          <w:rStyle w:val="Hyperlink"/>
          <w:b/>
          <w:color w:val="auto"/>
          <w:u w:val="none"/>
        </w:rPr>
        <w:t>E</w:t>
      </w:r>
      <w:r w:rsidR="0015106D" w:rsidRPr="00DD59FD">
        <w:rPr>
          <w:rStyle w:val="Hyperlink"/>
          <w:b/>
          <w:color w:val="auto"/>
          <w:u w:val="none"/>
        </w:rPr>
        <w:t>ngaging citizens in the legislative process (Brazil)</w:t>
      </w:r>
      <w:r w:rsidR="0015106D" w:rsidRPr="000E20F9">
        <w:rPr>
          <w:rStyle w:val="Hyperlink"/>
          <w:color w:val="auto"/>
          <w:u w:val="none"/>
        </w:rPr>
        <w:t xml:space="preserve">: Brazil’s e-Democracia platform, launched in 2009, allows citizens to interact with lawmakers on specific issues. Citizens can use the portal to mark-up legislation and propose and debate solutions to policy problems. </w:t>
      </w:r>
      <w:r w:rsidR="005B59E4" w:rsidRPr="000E20F9">
        <w:rPr>
          <w:rStyle w:val="Hyperlink"/>
          <w:color w:val="auto"/>
          <w:u w:val="none"/>
        </w:rPr>
        <w:t>The wiki legislation feature (</w:t>
      </w:r>
      <w:hyperlink r:id="rId9" w:history="1">
        <w:r w:rsidR="005B59E4" w:rsidRPr="00DD59FD">
          <w:rPr>
            <w:rStyle w:val="Hyperlink"/>
          </w:rPr>
          <w:t>wikilegis</w:t>
        </w:r>
      </w:hyperlink>
      <w:r w:rsidR="005B59E4" w:rsidRPr="00DD59FD">
        <w:rPr>
          <w:rStyle w:val="Hyperlink"/>
          <w:color w:val="auto"/>
          <w:u w:val="none"/>
        </w:rPr>
        <w:t>) allows citizens to track and comment on pending legislation,</w:t>
      </w:r>
      <w:r w:rsidR="00177CE1" w:rsidRPr="000E20F9">
        <w:rPr>
          <w:rStyle w:val="Hyperlink"/>
          <w:color w:val="auto"/>
          <w:u w:val="none"/>
        </w:rPr>
        <w:t xml:space="preserve"> including anti-corruption legislation,</w:t>
      </w:r>
      <w:r w:rsidR="005B59E4" w:rsidRPr="000E20F9">
        <w:rPr>
          <w:rStyle w:val="Hyperlink"/>
          <w:color w:val="auto"/>
          <w:u w:val="none"/>
        </w:rPr>
        <w:t xml:space="preserve"> article by article. Citizens can also suggest specific new text to be incorporated. </w:t>
      </w:r>
      <w:r w:rsidR="0015106D" w:rsidRPr="000E20F9">
        <w:rPr>
          <w:rStyle w:val="Hyperlink"/>
          <w:color w:val="auto"/>
          <w:u w:val="none"/>
        </w:rPr>
        <w:t>The platform has facilitated cross-country dialogue among disparate groups and has thousands of active users. It has also improved legislative transparency</w:t>
      </w:r>
      <w:r w:rsidR="005B59E4" w:rsidRPr="00DD59FD">
        <w:rPr>
          <w:rStyle w:val="FootnoteReference"/>
          <w:color w:val="auto"/>
        </w:rPr>
        <w:footnoteReference w:id="22"/>
      </w:r>
      <w:r w:rsidR="0015106D" w:rsidRPr="00DD59FD">
        <w:rPr>
          <w:rStyle w:val="Hyperlink"/>
          <w:color w:val="auto"/>
          <w:u w:val="none"/>
        </w:rPr>
        <w:t xml:space="preserve">. </w:t>
      </w:r>
      <w:r w:rsidR="00252450" w:rsidRPr="000E20F9">
        <w:rPr>
          <w:rStyle w:val="Hyperlink"/>
          <w:color w:val="auto"/>
          <w:u w:val="none"/>
        </w:rPr>
        <w:br/>
      </w:r>
      <w:r w:rsidR="00252450" w:rsidRPr="000E20F9">
        <w:rPr>
          <w:u w:val="single"/>
        </w:rPr>
        <w:t>Non-OGP initiative</w:t>
      </w:r>
    </w:p>
    <w:p w14:paraId="32E8EFAF" w14:textId="77777777" w:rsidR="0015106D" w:rsidRPr="005B0A74" w:rsidRDefault="0015106D" w:rsidP="0015106D">
      <w:pPr>
        <w:pStyle w:val="ListParagraph"/>
        <w:spacing w:after="0"/>
        <w:ind w:left="360"/>
        <w:rPr>
          <w:rStyle w:val="Hyperlink"/>
          <w:color w:val="auto"/>
        </w:rPr>
      </w:pPr>
    </w:p>
    <w:p w14:paraId="2D3FDBDA" w14:textId="77777777" w:rsidR="0015106D" w:rsidRDefault="0015106D" w:rsidP="0015106D">
      <w:pPr>
        <w:pStyle w:val="Heading3"/>
        <w:spacing w:before="0"/>
        <w:rPr>
          <w:lang w:val="en-GB"/>
        </w:rPr>
      </w:pPr>
      <w:r>
        <w:rPr>
          <w:lang w:val="en-GB"/>
        </w:rPr>
        <w:t xml:space="preserve">Controlling private sector corruption </w:t>
      </w:r>
    </w:p>
    <w:p w14:paraId="05E1F46B" w14:textId="5886E5AC" w:rsidR="0015106D" w:rsidRPr="004C7A61" w:rsidRDefault="0015106D" w:rsidP="0015106D">
      <w:pPr>
        <w:pStyle w:val="ListParagraph"/>
        <w:numPr>
          <w:ilvl w:val="0"/>
          <w:numId w:val="12"/>
        </w:numPr>
        <w:rPr>
          <w:lang w:val="en-GB"/>
        </w:rPr>
      </w:pPr>
      <w:r w:rsidRPr="004C7A61">
        <w:rPr>
          <w:b/>
          <w:lang w:val="en-GB"/>
        </w:rPr>
        <w:t xml:space="preserve">Country by country </w:t>
      </w:r>
      <w:r w:rsidR="00CD3400">
        <w:rPr>
          <w:b/>
          <w:lang w:val="en-GB"/>
        </w:rPr>
        <w:t xml:space="preserve">corporate </w:t>
      </w:r>
      <w:r w:rsidRPr="004C7A61">
        <w:rPr>
          <w:b/>
          <w:lang w:val="en-GB"/>
        </w:rPr>
        <w:t xml:space="preserve">reporting (Norway): </w:t>
      </w:r>
      <w:r w:rsidRPr="004C7A61">
        <w:rPr>
          <w:lang w:val="en-GB"/>
        </w:rPr>
        <w:t>The government of Norway has put forward a bill on country-by-country reporting to the parliament.  Country-by-country reporting differs from standard financial reporting as it presents financial information for every country that a company operates in, rather than a single set of information at a global level</w:t>
      </w:r>
      <w:r>
        <w:rPr>
          <w:rStyle w:val="FootnoteReference"/>
          <w:lang w:val="en-GB"/>
        </w:rPr>
        <w:footnoteReference w:id="23"/>
      </w:r>
      <w:r w:rsidRPr="004C7A61">
        <w:rPr>
          <w:lang w:val="en-GB"/>
        </w:rPr>
        <w:t xml:space="preserve">. Reporting, for example, taxes, royalties and bonuses that a multinational company pays to a host government </w:t>
      </w:r>
      <w:r>
        <w:rPr>
          <w:lang w:val="en-GB"/>
        </w:rPr>
        <w:t>makes it easier to spot</w:t>
      </w:r>
      <w:r w:rsidRPr="004C7A61">
        <w:rPr>
          <w:lang w:val="en-GB"/>
        </w:rPr>
        <w:t xml:space="preserve"> irregular activity including cases of corruption and bribery. </w:t>
      </w:r>
      <w:r>
        <w:rPr>
          <w:lang w:val="en-GB"/>
        </w:rPr>
        <w:br/>
      </w:r>
      <w:r w:rsidRPr="004C7A61">
        <w:rPr>
          <w:u w:val="single"/>
          <w:lang w:val="en-GB"/>
        </w:rPr>
        <w:t>OGP Status:</w:t>
      </w:r>
      <w:r w:rsidRPr="004C7A61">
        <w:rPr>
          <w:lang w:val="en-GB"/>
        </w:rPr>
        <w:t xml:space="preserve"> Complete</w:t>
      </w:r>
    </w:p>
    <w:p w14:paraId="486A6584" w14:textId="77777777" w:rsidR="0015106D" w:rsidRDefault="0015106D" w:rsidP="0015106D">
      <w:pPr>
        <w:pStyle w:val="ListParagraph"/>
        <w:rPr>
          <w:i/>
          <w:lang w:val="en-GB"/>
        </w:rPr>
      </w:pPr>
      <w:r>
        <w:rPr>
          <w:i/>
          <w:lang w:val="en-GB"/>
        </w:rPr>
        <w:t>NB: Currently there are discussions in the European Union about extending country-by-country reporting to all sectors.</w:t>
      </w:r>
    </w:p>
    <w:p w14:paraId="34C55F15" w14:textId="77777777" w:rsidR="0015106D" w:rsidRDefault="0015106D" w:rsidP="0015106D">
      <w:pPr>
        <w:pStyle w:val="ListParagraph"/>
      </w:pPr>
    </w:p>
    <w:p w14:paraId="12DD7236" w14:textId="77777777" w:rsidR="0015106D" w:rsidRDefault="0015106D" w:rsidP="0015106D">
      <w:pPr>
        <w:pStyle w:val="ListParagraph"/>
        <w:numPr>
          <w:ilvl w:val="0"/>
          <w:numId w:val="12"/>
        </w:numPr>
      </w:pPr>
      <w:r>
        <w:rPr>
          <w:b/>
        </w:rPr>
        <w:t>Increasing beneficial ownership transparency (UK):</w:t>
      </w:r>
      <w:r>
        <w:t xml:space="preserve"> The use of shell companies to hide the </w:t>
      </w:r>
      <w:r w:rsidR="005B59E4">
        <w:t>identit</w:t>
      </w:r>
      <w:r>
        <w:t xml:space="preserve">y of </w:t>
      </w:r>
      <w:r w:rsidR="005B59E4">
        <w:t>their</w:t>
      </w:r>
      <w:r>
        <w:t xml:space="preserve"> true owner</w:t>
      </w:r>
      <w:r w:rsidR="005B59E4">
        <w:t>s</w:t>
      </w:r>
      <w:r>
        <w:t xml:space="preserve"> makes it easier for criminal networks and the corrupt to hide and launder</w:t>
      </w:r>
      <w:r w:rsidRPr="00C40D5F">
        <w:t xml:space="preserve"> illicit </w:t>
      </w:r>
      <w:r>
        <w:t xml:space="preserve">money. Public registers of beneficial ownership allow such ill-gotten gains to be more easily traced and make it more difficult and less attractive for people to benefit from the proceeds of corruption and crime. To this end, the UK government has committed to creating a publicly accessible central registry of company beneficial ownership </w:t>
      </w:r>
      <w:r w:rsidR="005B59E4">
        <w:t>i</w:t>
      </w:r>
      <w:r>
        <w:t>nformation, containing information about who ultimately owns and controls UK companies</w:t>
      </w:r>
      <w:r>
        <w:rPr>
          <w:rStyle w:val="FootnoteReference"/>
        </w:rPr>
        <w:footnoteReference w:id="24"/>
      </w:r>
      <w:r>
        <w:t xml:space="preserve">. </w:t>
      </w:r>
      <w:r w:rsidR="005B59E4">
        <w:t>One limitation of the initiative is that it</w:t>
      </w:r>
      <w:r>
        <w:t xml:space="preserve"> only covers domestic law and not the beneficial ownership standards for legal entities and trusts incorporated in the British Overseas Territories and Crown Dependencies.</w:t>
      </w:r>
      <w:r>
        <w:rPr>
          <w:rStyle w:val="FootnoteReference"/>
        </w:rPr>
        <w:footnoteReference w:id="25"/>
      </w:r>
      <w:r>
        <w:t xml:space="preserve"> </w:t>
      </w:r>
    </w:p>
    <w:p w14:paraId="54734354" w14:textId="77777777" w:rsidR="0015106D" w:rsidRDefault="0015106D" w:rsidP="0015106D">
      <w:pPr>
        <w:pStyle w:val="ListParagraph"/>
      </w:pPr>
      <w:r>
        <w:rPr>
          <w:u w:val="single"/>
        </w:rPr>
        <w:t>OGP Status:</w:t>
      </w:r>
      <w:r>
        <w:t xml:space="preserve"> Substantial completion</w:t>
      </w:r>
    </w:p>
    <w:p w14:paraId="64EAD2D1" w14:textId="77777777" w:rsidR="0015106D" w:rsidRDefault="0015106D" w:rsidP="0015106D">
      <w:pPr>
        <w:pStyle w:val="ListParagraph"/>
        <w:rPr>
          <w:i/>
        </w:rPr>
      </w:pPr>
      <w:r>
        <w:rPr>
          <w:i/>
        </w:rPr>
        <w:t>NB: There are a number of actors and fora that have committed to or are advocating for beneficial ownership transparency, including the G20, World Bank, B</w:t>
      </w:r>
      <w:r w:rsidR="00DF40E2">
        <w:rPr>
          <w:i/>
        </w:rPr>
        <w:t>-T</w:t>
      </w:r>
      <w:r>
        <w:rPr>
          <w:i/>
        </w:rPr>
        <w:t xml:space="preserve">eam and Open Contracting Partnership. </w:t>
      </w:r>
    </w:p>
    <w:p w14:paraId="1FA68BF2" w14:textId="77777777" w:rsidR="0015106D" w:rsidRDefault="0015106D" w:rsidP="0015106D">
      <w:pPr>
        <w:pStyle w:val="ListParagraph"/>
      </w:pPr>
    </w:p>
    <w:p w14:paraId="53538B98" w14:textId="77777777" w:rsidR="0015106D" w:rsidRDefault="0015106D" w:rsidP="0015106D">
      <w:pPr>
        <w:pStyle w:val="ListParagraph"/>
        <w:numPr>
          <w:ilvl w:val="0"/>
          <w:numId w:val="12"/>
        </w:numPr>
      </w:pPr>
      <w:r>
        <w:rPr>
          <w:b/>
        </w:rPr>
        <w:t xml:space="preserve">Regulating private-private bribery (Italy): </w:t>
      </w:r>
      <w:r>
        <w:t>In 2013, Italy enacted a new anti-corruption law that introduced a new offence of private corruption. The new law includes individual liability, including for those who do not have managerial roles. It also allows for corporate liability in cases where a company has not adopted adequate preventive measures in its corporate compliance structures. It remains to be seen how the law will be implemented in practice. As of 2013, (the latest date for which information was available) only one case had been adjudicated</w:t>
      </w:r>
      <w:r>
        <w:rPr>
          <w:rStyle w:val="FootnoteReference"/>
        </w:rPr>
        <w:footnoteReference w:id="26"/>
      </w:r>
      <w:r>
        <w:t>.</w:t>
      </w:r>
    </w:p>
    <w:p w14:paraId="471F2767" w14:textId="77777777" w:rsidR="0015106D" w:rsidRDefault="0015106D" w:rsidP="0015106D">
      <w:pPr>
        <w:pStyle w:val="ListParagraph"/>
        <w:rPr>
          <w:u w:val="single"/>
        </w:rPr>
      </w:pPr>
      <w:r>
        <w:rPr>
          <w:u w:val="single"/>
        </w:rPr>
        <w:t>Non-OGP initiative</w:t>
      </w:r>
    </w:p>
    <w:p w14:paraId="11376473" w14:textId="77777777" w:rsidR="0015106D" w:rsidRDefault="0015106D" w:rsidP="0015106D">
      <w:pPr>
        <w:pStyle w:val="Heading3"/>
        <w:spacing w:before="0"/>
        <w:rPr>
          <w:lang w:val="en-GB"/>
        </w:rPr>
      </w:pPr>
      <w:r>
        <w:rPr>
          <w:lang w:val="en-GB"/>
        </w:rPr>
        <w:lastRenderedPageBreak/>
        <w:t>Controlling cross border corruption</w:t>
      </w:r>
    </w:p>
    <w:p w14:paraId="151554F0" w14:textId="77777777" w:rsidR="0015106D" w:rsidRDefault="0015106D" w:rsidP="0015106D">
      <w:pPr>
        <w:pStyle w:val="ListParagraph"/>
        <w:numPr>
          <w:ilvl w:val="0"/>
          <w:numId w:val="13"/>
        </w:numPr>
      </w:pPr>
      <w:r>
        <w:rPr>
          <w:b/>
        </w:rPr>
        <w:t>Strengthening the regulation of luxury goods and real estate (Dubai, Switzerland, US</w:t>
      </w:r>
      <w:r w:rsidR="00D773A3">
        <w:rPr>
          <w:b/>
        </w:rPr>
        <w:t>A</w:t>
      </w:r>
      <w:r>
        <w:rPr>
          <w:b/>
        </w:rPr>
        <w:t xml:space="preserve">): </w:t>
      </w:r>
      <w:r>
        <w:t>As part of its strategy to counter money laundering, Dubai requires all dealers in goods worth US$ 15,000 or more to be registered under Anti-Money Laundering rules. Switzerland, meanwhile, is planning to forbid cash payments of over US$112,000 for both immovable and movable properties. Transactions above this amount will have to be processed through a bank rather than in cash</w:t>
      </w:r>
      <w:r>
        <w:rPr>
          <w:rStyle w:val="FootnoteReference"/>
        </w:rPr>
        <w:footnoteReference w:id="27"/>
      </w:r>
      <w:r>
        <w:t xml:space="preserve">. Most recently the US Department of Justice introduced a pilot requiring </w:t>
      </w:r>
      <w:r w:rsidR="002C09A9">
        <w:t xml:space="preserve">collection of </w:t>
      </w:r>
      <w:r>
        <w:t>beneficial ownership information for all high-end cash property purchases, especially those involving shell companies, in the N</w:t>
      </w:r>
      <w:r w:rsidR="00DF40E2">
        <w:t xml:space="preserve">ew </w:t>
      </w:r>
      <w:r>
        <w:t>Y</w:t>
      </w:r>
      <w:r w:rsidR="00DF40E2">
        <w:t>ork</w:t>
      </w:r>
      <w:r>
        <w:t xml:space="preserve"> and Miami metropolitan areas.</w:t>
      </w:r>
    </w:p>
    <w:p w14:paraId="6E6847C3" w14:textId="77777777" w:rsidR="0015106D" w:rsidRDefault="0015106D" w:rsidP="0015106D">
      <w:pPr>
        <w:pStyle w:val="ListParagraph"/>
        <w:rPr>
          <w:u w:val="single"/>
        </w:rPr>
      </w:pPr>
      <w:r>
        <w:rPr>
          <w:u w:val="single"/>
        </w:rPr>
        <w:t>Non-OGP initiative</w:t>
      </w:r>
      <w:r w:rsidR="00252450">
        <w:rPr>
          <w:u w:val="single"/>
        </w:rPr>
        <w:t>s</w:t>
      </w:r>
    </w:p>
    <w:p w14:paraId="3195F61B" w14:textId="77777777" w:rsidR="0015106D" w:rsidRDefault="0015106D" w:rsidP="0015106D">
      <w:pPr>
        <w:pStyle w:val="ListParagraph"/>
      </w:pPr>
    </w:p>
    <w:p w14:paraId="610F43CC" w14:textId="77777777" w:rsidR="0015106D" w:rsidRDefault="0015106D" w:rsidP="0015106D">
      <w:pPr>
        <w:pStyle w:val="ListParagraph"/>
        <w:numPr>
          <w:ilvl w:val="0"/>
          <w:numId w:val="13"/>
        </w:numPr>
      </w:pPr>
      <w:r>
        <w:rPr>
          <w:b/>
        </w:rPr>
        <w:t xml:space="preserve">Denying entry to corrupt individuals (USA):  </w:t>
      </w:r>
      <w:r>
        <w:t>The USA has committed to</w:t>
      </w:r>
      <w:r>
        <w:rPr>
          <w:b/>
        </w:rPr>
        <w:t xml:space="preserve"> </w:t>
      </w:r>
      <w:r>
        <w:rPr>
          <w:noProof/>
        </w:rPr>
        <w:t xml:space="preserve">launching an interagency process to explore ways to strengthen efforts to deny safe haven to corrupt individuals. </w:t>
      </w:r>
      <w:r>
        <w:t>These efforts include the possibility of strengthening the Presidential Proclamation that denies safe haven in the USA to those who have committed</w:t>
      </w:r>
      <w:r w:rsidR="005B59E4">
        <w:t>,</w:t>
      </w:r>
      <w:r>
        <w:t xml:space="preserve"> participated in</w:t>
      </w:r>
      <w:r w:rsidR="005B59E4">
        <w:t>,</w:t>
      </w:r>
      <w:r>
        <w:t xml:space="preserve"> or were beneficiaries of</w:t>
      </w:r>
      <w:r w:rsidR="005B59E4">
        <w:t>,</w:t>
      </w:r>
      <w:r>
        <w:t xml:space="preserve"> corrupt practices in performing public functions</w:t>
      </w:r>
      <w:r>
        <w:rPr>
          <w:rStyle w:val="FootnoteReference"/>
          <w:noProof/>
        </w:rPr>
        <w:footnoteReference w:id="28"/>
      </w:r>
      <w:r>
        <w:rPr>
          <w:noProof/>
        </w:rPr>
        <w:t>.</w:t>
      </w:r>
      <w:r>
        <w:t xml:space="preserve"> </w:t>
      </w:r>
    </w:p>
    <w:p w14:paraId="21A8C8B8" w14:textId="77777777" w:rsidR="0015106D" w:rsidRDefault="0015106D" w:rsidP="0015106D">
      <w:pPr>
        <w:pStyle w:val="ListParagraph"/>
      </w:pPr>
      <w:r>
        <w:rPr>
          <w:u w:val="single"/>
        </w:rPr>
        <w:t>OGP Status:</w:t>
      </w:r>
      <w:r>
        <w:t xml:space="preserve"> Limited completion</w:t>
      </w:r>
    </w:p>
    <w:p w14:paraId="63290BFD" w14:textId="77777777" w:rsidR="0015106D" w:rsidRDefault="0015106D" w:rsidP="0015106D">
      <w:pPr>
        <w:pStyle w:val="ListParagraph"/>
        <w:rPr>
          <w:i/>
        </w:rPr>
      </w:pPr>
      <w:r>
        <w:rPr>
          <w:i/>
        </w:rPr>
        <w:t>NB: G20 has committed to and are working towards developing principles on denial of entry.</w:t>
      </w:r>
    </w:p>
    <w:p w14:paraId="38BDDE40" w14:textId="77777777" w:rsidR="0015106D" w:rsidRDefault="0015106D" w:rsidP="0015106D">
      <w:pPr>
        <w:pStyle w:val="ListParagraph"/>
        <w:rPr>
          <w:i/>
        </w:rPr>
      </w:pPr>
    </w:p>
    <w:p w14:paraId="670401F5" w14:textId="77777777" w:rsidR="0015106D" w:rsidRPr="00C96574" w:rsidRDefault="0015106D" w:rsidP="0015106D">
      <w:pPr>
        <w:pStyle w:val="ListParagraph"/>
        <w:numPr>
          <w:ilvl w:val="0"/>
          <w:numId w:val="13"/>
        </w:numPr>
        <w:rPr>
          <w:i/>
        </w:rPr>
      </w:pPr>
      <w:r w:rsidRPr="00C96574">
        <w:rPr>
          <w:b/>
        </w:rPr>
        <w:t xml:space="preserve">Recovering stolen assets (UK, USA, Switzerland): </w:t>
      </w:r>
      <w:r w:rsidRPr="00C96574">
        <w:t>Despite the inherent challenges involved, asset recovery can have an important development impact when returns are used for development purposes. Asset recovery also helps to deter corruption by showing that corrupt officials can be deprived of their illicit gains.  Switzerland, the United States, and the United Kingdom are three examples of countries that have developed high-level policies, a wide range of asset recovery tools, and dedicated teams working on asset recovery cases</w:t>
      </w:r>
      <w:r>
        <w:rPr>
          <w:rStyle w:val="FootnoteReference"/>
        </w:rPr>
        <w:footnoteReference w:id="29"/>
      </w:r>
      <w:r w:rsidRPr="00C96574">
        <w:t>. The Kleptocracy Initiative in the USA, for example, has achieved some notable wins including a recent settlement in which Teodoro Obiang, the son of the President of Equatorial Guinea was ordered to give $30 million from the sale of his American assets to a charity to benefit the people of Equatorial Guinea</w:t>
      </w:r>
      <w:r>
        <w:rPr>
          <w:rStyle w:val="FootnoteReference"/>
        </w:rPr>
        <w:footnoteReference w:id="30"/>
      </w:r>
      <w:r w:rsidRPr="00C96574">
        <w:t xml:space="preserve">. </w:t>
      </w:r>
      <w:r w:rsidR="00252450">
        <w:br/>
      </w:r>
      <w:r w:rsidR="00252450">
        <w:rPr>
          <w:u w:val="single"/>
        </w:rPr>
        <w:t>Non-OGP initiatives</w:t>
      </w:r>
    </w:p>
    <w:p w14:paraId="1FCC0380" w14:textId="74B957AC" w:rsidR="0015106D" w:rsidRPr="007C1011" w:rsidRDefault="00EE4A95" w:rsidP="007C1011">
      <w:pPr>
        <w:pStyle w:val="Heading3"/>
      </w:pPr>
      <w:r w:rsidRPr="007C1011">
        <w:t>Strengthening law e</w:t>
      </w:r>
      <w:r w:rsidR="0015106D" w:rsidRPr="007C1011">
        <w:t>nforcement</w:t>
      </w:r>
      <w:r w:rsidR="00177CE1">
        <w:t xml:space="preserve"> and judiciary</w:t>
      </w:r>
    </w:p>
    <w:p w14:paraId="70AF03C3" w14:textId="390D611F" w:rsidR="0015106D" w:rsidRDefault="0015106D" w:rsidP="0015106D">
      <w:pPr>
        <w:pStyle w:val="ListParagraph"/>
        <w:numPr>
          <w:ilvl w:val="0"/>
          <w:numId w:val="13"/>
        </w:numPr>
      </w:pPr>
      <w:r w:rsidRPr="00BE151E">
        <w:rPr>
          <w:b/>
        </w:rPr>
        <w:t>Creating international hybrid anti-corruption mechanisms to fight impunity (Guatemala and Honduras)</w:t>
      </w:r>
      <w:r>
        <w:t xml:space="preserve">: The International Commission against Impunity in Guatemala </w:t>
      </w:r>
      <w:r w:rsidRPr="00BE151E">
        <w:rPr>
          <w:lang w:val="en-GB"/>
        </w:rPr>
        <w:t>(</w:t>
      </w:r>
      <w:r>
        <w:t>CICIG),was established in 2006 at the request of the Guatemalan government</w:t>
      </w:r>
      <w:r w:rsidR="005B59E4">
        <w:t xml:space="preserve"> and with the support of the United Nations </w:t>
      </w:r>
      <w:r>
        <w:t>to help domestic institutions investigate and dismantle illegal groups and clandestine security structures. It has the mandate to both build up Guatemalan institutions</w:t>
      </w:r>
      <w:r w:rsidR="00252450">
        <w:t>,</w:t>
      </w:r>
      <w:r>
        <w:t xml:space="preserve"> and engage in its own investigations, and has investigated more than 200 individuals and criminal networks since 2007</w:t>
      </w:r>
      <w:r w:rsidR="002C09A9">
        <w:t>, including several high-level corruption investigations</w:t>
      </w:r>
      <w:r>
        <w:t>. A similar mechanism was established in Honduras in 2015, although with more limited (advisory) powers</w:t>
      </w:r>
      <w:r>
        <w:rPr>
          <w:rStyle w:val="FootnoteReference"/>
        </w:rPr>
        <w:footnoteReference w:id="31"/>
      </w:r>
      <w:r>
        <w:t>.</w:t>
      </w:r>
      <w:r w:rsidR="00252450">
        <w:br/>
      </w:r>
      <w:r w:rsidR="00252450">
        <w:rPr>
          <w:u w:val="single"/>
        </w:rPr>
        <w:t>Non-OGP initiatives</w:t>
      </w:r>
    </w:p>
    <w:p w14:paraId="05304DE0" w14:textId="77777777" w:rsidR="0015106D" w:rsidRPr="005E72E8" w:rsidRDefault="0015106D" w:rsidP="0015106D">
      <w:pPr>
        <w:pStyle w:val="ListParagraph"/>
      </w:pPr>
    </w:p>
    <w:p w14:paraId="29282B92" w14:textId="77777777" w:rsidR="0015106D" w:rsidRDefault="0015106D" w:rsidP="0015106D">
      <w:pPr>
        <w:pStyle w:val="ListParagraph"/>
        <w:numPr>
          <w:ilvl w:val="0"/>
          <w:numId w:val="14"/>
        </w:numPr>
        <w:rPr>
          <w:noProof/>
        </w:rPr>
      </w:pPr>
      <w:r>
        <w:rPr>
          <w:b/>
          <w:noProof/>
        </w:rPr>
        <w:lastRenderedPageBreak/>
        <w:t>Increasing the capacity of the Attorney General’s Office to fight corruption (Brazil)</w:t>
      </w:r>
      <w:r>
        <w:rPr>
          <w:noProof/>
        </w:rPr>
        <w:t>: The Brazilian government has commi</w:t>
      </w:r>
      <w:r w:rsidR="00DF40E2">
        <w:rPr>
          <w:noProof/>
        </w:rPr>
        <w:t>t</w:t>
      </w:r>
      <w:r>
        <w:rPr>
          <w:noProof/>
        </w:rPr>
        <w:t xml:space="preserve">ted to strengthen procedures for preliminary investigation and information gathering as well as to increase the number of attorneys assigned to deal exclusively with cases related to corruption </w:t>
      </w:r>
      <w:r w:rsidR="00252450">
        <w:rPr>
          <w:noProof/>
        </w:rPr>
        <w:t>and public asset</w:t>
      </w:r>
      <w:r>
        <w:rPr>
          <w:noProof/>
        </w:rPr>
        <w:t xml:space="preserve"> recovery</w:t>
      </w:r>
      <w:r>
        <w:rPr>
          <w:rStyle w:val="FootnoteReference"/>
          <w:noProof/>
        </w:rPr>
        <w:footnoteReference w:id="32"/>
      </w:r>
      <w:r>
        <w:rPr>
          <w:noProof/>
        </w:rPr>
        <w:t>. It should be noted that the IRM suggests minor potential impact, because the activity focuses on expanding government practices already underway.</w:t>
      </w:r>
    </w:p>
    <w:p w14:paraId="051C456D" w14:textId="77777777" w:rsidR="0015106D" w:rsidRDefault="0015106D" w:rsidP="0015106D">
      <w:pPr>
        <w:pStyle w:val="ListParagraph"/>
        <w:rPr>
          <w:noProof/>
        </w:rPr>
      </w:pPr>
      <w:r>
        <w:rPr>
          <w:noProof/>
          <w:u w:val="single"/>
        </w:rPr>
        <w:t>OGP Status:</w:t>
      </w:r>
      <w:r>
        <w:rPr>
          <w:noProof/>
        </w:rPr>
        <w:t xml:space="preserve"> Substantial completion</w:t>
      </w:r>
    </w:p>
    <w:p w14:paraId="28A021B8" w14:textId="77777777" w:rsidR="0015106D" w:rsidRDefault="0015106D" w:rsidP="0015106D">
      <w:pPr>
        <w:pStyle w:val="ListParagraph"/>
        <w:rPr>
          <w:noProof/>
        </w:rPr>
      </w:pPr>
    </w:p>
    <w:p w14:paraId="223A4F63" w14:textId="77777777" w:rsidR="0015106D" w:rsidRDefault="0015106D" w:rsidP="0015106D">
      <w:pPr>
        <w:pStyle w:val="ListParagraph"/>
        <w:numPr>
          <w:ilvl w:val="0"/>
          <w:numId w:val="14"/>
        </w:numPr>
        <w:rPr>
          <w:noProof/>
        </w:rPr>
      </w:pPr>
      <w:r>
        <w:rPr>
          <w:b/>
          <w:noProof/>
        </w:rPr>
        <w:t>Creating a specialised system for dealing with complex corruption cases (Peru)</w:t>
      </w:r>
      <w:r>
        <w:rPr>
          <w:noProof/>
        </w:rPr>
        <w:t>: The Government of Peru plans to strengthen the judicial anticorruption subsystem for complex cases, cases with national impact, and crimes carrying penalties of more than five years in jail</w:t>
      </w:r>
      <w:r>
        <w:rPr>
          <w:rStyle w:val="FootnoteReference"/>
          <w:noProof/>
        </w:rPr>
        <w:footnoteReference w:id="33"/>
      </w:r>
      <w:r>
        <w:rPr>
          <w:noProof/>
        </w:rPr>
        <w:t>.</w:t>
      </w:r>
    </w:p>
    <w:p w14:paraId="32043DA4" w14:textId="77777777" w:rsidR="0015106D" w:rsidRDefault="0015106D" w:rsidP="0015106D">
      <w:pPr>
        <w:pStyle w:val="ListParagraph"/>
        <w:rPr>
          <w:noProof/>
        </w:rPr>
      </w:pPr>
      <w:r>
        <w:rPr>
          <w:noProof/>
          <w:u w:val="single"/>
        </w:rPr>
        <w:t>OGP Status:</w:t>
      </w:r>
      <w:r>
        <w:rPr>
          <w:noProof/>
        </w:rPr>
        <w:t xml:space="preserve"> Substantial completion</w:t>
      </w:r>
    </w:p>
    <w:p w14:paraId="67BD8AA7" w14:textId="77777777" w:rsidR="0015106D" w:rsidRPr="005E72E8" w:rsidRDefault="0015106D" w:rsidP="0015106D">
      <w:pPr>
        <w:pStyle w:val="ListParagraph"/>
        <w:rPr>
          <w:noProof/>
        </w:rPr>
      </w:pPr>
    </w:p>
    <w:p w14:paraId="6D7D0CD8" w14:textId="0CA21504" w:rsidR="00557087" w:rsidRPr="007C1011" w:rsidRDefault="0015106D" w:rsidP="00AA26C7">
      <w:pPr>
        <w:pStyle w:val="ListParagraph"/>
        <w:numPr>
          <w:ilvl w:val="0"/>
          <w:numId w:val="14"/>
        </w:numPr>
        <w:tabs>
          <w:tab w:val="left" w:pos="2740"/>
        </w:tabs>
        <w:rPr>
          <w:rStyle w:val="Hyperlink"/>
          <w:color w:val="000000"/>
          <w:u w:val="none"/>
          <w:lang w:val="en-GB"/>
        </w:rPr>
      </w:pPr>
      <w:r w:rsidRPr="00D773A3">
        <w:rPr>
          <w:rStyle w:val="Hyperlink"/>
          <w:b/>
          <w:color w:val="auto"/>
          <w:u w:val="none"/>
        </w:rPr>
        <w:t>Limiting the scope of statutes of limitation in corruption cases (Austria and others)</w:t>
      </w:r>
      <w:r w:rsidRPr="00D773A3">
        <w:rPr>
          <w:rStyle w:val="Hyperlink"/>
          <w:color w:val="auto"/>
          <w:u w:val="none"/>
        </w:rPr>
        <w:t>: In most criminal cases, the limitation period after which an action can no longer be brought against an all</w:t>
      </w:r>
      <w:r w:rsidR="00DF40E2">
        <w:rPr>
          <w:rStyle w:val="Hyperlink"/>
          <w:color w:val="auto"/>
          <w:u w:val="none"/>
        </w:rPr>
        <w:t xml:space="preserve">eged offender usually begins </w:t>
      </w:r>
      <w:r w:rsidRPr="00D773A3">
        <w:rPr>
          <w:rStyle w:val="Hyperlink"/>
          <w:color w:val="auto"/>
          <w:u w:val="none"/>
        </w:rPr>
        <w:t>on the day on which the crime was committed. However, many European countries (including Austria, Bulgaria and the Czech Republic) have introduced mechanisms that account for the late discovery of corruption cases. Moreover, in Austria, Statute of Limitation periods are suspended or interrupted if an alleged offender commits another offence of a similar nature</w:t>
      </w:r>
      <w:r w:rsidRPr="005E72E8">
        <w:rPr>
          <w:rStyle w:val="FootnoteReference"/>
          <w:color w:val="auto"/>
        </w:rPr>
        <w:footnoteReference w:id="34"/>
      </w:r>
      <w:r w:rsidRPr="00D773A3">
        <w:rPr>
          <w:rStyle w:val="Hyperlink"/>
          <w:color w:val="auto"/>
          <w:u w:val="none"/>
        </w:rPr>
        <w:t xml:space="preserve">. </w:t>
      </w:r>
      <w:r w:rsidR="00D773A3">
        <w:rPr>
          <w:rStyle w:val="Hyperlink"/>
          <w:color w:val="auto"/>
          <w:u w:val="none"/>
        </w:rPr>
        <w:br/>
      </w:r>
      <w:r w:rsidRPr="00D773A3">
        <w:rPr>
          <w:rStyle w:val="Hyperlink"/>
          <w:color w:val="auto"/>
        </w:rPr>
        <w:t>Non-OGP initiative</w:t>
      </w:r>
      <w:r w:rsidR="00252450">
        <w:rPr>
          <w:rStyle w:val="Hyperlink"/>
          <w:color w:val="auto"/>
        </w:rPr>
        <w:t>s</w:t>
      </w:r>
      <w:r w:rsidRPr="00D773A3">
        <w:rPr>
          <w:rStyle w:val="Hyperlink"/>
          <w:color w:val="auto"/>
        </w:rPr>
        <w:t xml:space="preserve"> </w:t>
      </w:r>
      <w:r w:rsidR="00DD59FD">
        <w:rPr>
          <w:rStyle w:val="Hyperlink"/>
          <w:color w:val="auto"/>
        </w:rPr>
        <w:br/>
      </w:r>
    </w:p>
    <w:p w14:paraId="1358485D" w14:textId="6D770477" w:rsidR="000E7F13" w:rsidRPr="00086E03" w:rsidRDefault="007C1011" w:rsidP="00086E03">
      <w:pPr>
        <w:pStyle w:val="ListParagraph"/>
        <w:numPr>
          <w:ilvl w:val="0"/>
          <w:numId w:val="18"/>
        </w:numPr>
        <w:tabs>
          <w:tab w:val="left" w:pos="2740"/>
        </w:tabs>
        <w:ind w:left="709"/>
        <w:rPr>
          <w:lang w:val="en-GB"/>
        </w:rPr>
      </w:pPr>
      <w:r w:rsidRPr="00521856">
        <w:rPr>
          <w:b/>
        </w:rPr>
        <w:t>Addressing risk in judiciary (Ukraine)</w:t>
      </w:r>
      <w:r>
        <w:t xml:space="preserve">: </w:t>
      </w:r>
      <w:r w:rsidR="00521856">
        <w:t>The Ukrainian Government has committed to  d</w:t>
      </w:r>
      <w:r>
        <w:t>eveloping, with the involvement of members of the public, methodological recommendations on</w:t>
      </w:r>
      <w:r w:rsidR="00521856">
        <w:t xml:space="preserve"> the</w:t>
      </w:r>
      <w:r>
        <w:t xml:space="preserve"> </w:t>
      </w:r>
      <w:r w:rsidRPr="007C1011">
        <w:t xml:space="preserve">identification of corruption risks in judicial officials’ work </w:t>
      </w:r>
      <w:r>
        <w:t>and o</w:t>
      </w:r>
      <w:r w:rsidR="00521856">
        <w:t>n</w:t>
      </w:r>
      <w:r>
        <w:t xml:space="preserve"> ways to counteract them</w:t>
      </w:r>
      <w:r w:rsidR="00521856">
        <w:t xml:space="preserve">. This risk-based approach to anti-corruption is a good </w:t>
      </w:r>
      <w:r w:rsidR="009A0423">
        <w:t>practice that has not been used</w:t>
      </w:r>
      <w:r w:rsidR="00521856">
        <w:t xml:space="preserve"> in the Ukrainian public sector to date. However, it is not clear the extent to which civil society was actually involved in the development of the methodology</w:t>
      </w:r>
      <w:r w:rsidR="009A0423">
        <w:rPr>
          <w:rStyle w:val="FootnoteReference"/>
        </w:rPr>
        <w:footnoteReference w:id="35"/>
      </w:r>
      <w:r w:rsidR="009A0423">
        <w:t>.</w:t>
      </w:r>
      <w:r w:rsidR="009A0423">
        <w:br/>
      </w:r>
      <w:r w:rsidR="009A0423">
        <w:rPr>
          <w:u w:val="single"/>
        </w:rPr>
        <w:t>OGP Status</w:t>
      </w:r>
      <w:r w:rsidR="009A0423">
        <w:t>: Substantial completion</w:t>
      </w:r>
      <w:r w:rsidR="000E7F13">
        <w:br/>
      </w:r>
    </w:p>
    <w:p w14:paraId="4CE8FCCA" w14:textId="35C37A92" w:rsidR="00A864FF" w:rsidRPr="000E7F13" w:rsidRDefault="00086E03" w:rsidP="00086E03">
      <w:pPr>
        <w:pStyle w:val="ListParagraph"/>
        <w:numPr>
          <w:ilvl w:val="0"/>
          <w:numId w:val="18"/>
        </w:numPr>
        <w:tabs>
          <w:tab w:val="left" w:pos="2740"/>
        </w:tabs>
        <w:ind w:left="709"/>
        <w:rPr>
          <w:lang w:val="en-GB"/>
        </w:rPr>
      </w:pPr>
      <w:r w:rsidRPr="00086E03">
        <w:rPr>
          <w:b/>
          <w:lang w:val="en-GB"/>
        </w:rPr>
        <w:t>Improving the transparency of judicial decisions</w:t>
      </w:r>
      <w:r>
        <w:rPr>
          <w:lang w:val="en-GB"/>
        </w:rPr>
        <w:t xml:space="preserve"> (Georgia) </w:t>
      </w:r>
      <w:r w:rsidR="000E7F13" w:rsidRPr="000E7F13">
        <w:rPr>
          <w:lang w:val="en-GB"/>
        </w:rPr>
        <w:t xml:space="preserve">As part of its draft OGP commitments for 2016-2017, the Government of Georgia is </w:t>
      </w:r>
      <w:r w:rsidR="000E7F13">
        <w:rPr>
          <w:lang w:val="en-GB"/>
        </w:rPr>
        <w:t xml:space="preserve">planning to </w:t>
      </w:r>
      <w:r w:rsidR="000E7F13" w:rsidRPr="000E7F13">
        <w:rPr>
          <w:lang w:val="en-GB"/>
        </w:rPr>
        <w:t xml:space="preserve">develop a unified standard for common court decisions, and </w:t>
      </w:r>
      <w:r w:rsidR="000E7F13">
        <w:rPr>
          <w:lang w:val="en-GB"/>
        </w:rPr>
        <w:t xml:space="preserve">to </w:t>
      </w:r>
      <w:r w:rsidR="000E7F13" w:rsidRPr="000E7F13">
        <w:rPr>
          <w:lang w:val="en-GB"/>
        </w:rPr>
        <w:t>elaborat</w:t>
      </w:r>
      <w:r w:rsidR="000E7F13">
        <w:rPr>
          <w:lang w:val="en-GB"/>
        </w:rPr>
        <w:t>e</w:t>
      </w:r>
      <w:r w:rsidR="000E7F13" w:rsidRPr="000E7F13">
        <w:rPr>
          <w:lang w:val="en-GB"/>
        </w:rPr>
        <w:t xml:space="preserve"> a methodology, criteria and standards for the reasoning of court decisions. This is a positive step in the light of the Ombudsman’s criticisms of the persistent problem of judges' failure to provide reasoned evidence and legal analysis behind their decisions</w:t>
      </w:r>
      <w:r w:rsidR="000E7F13">
        <w:rPr>
          <w:rStyle w:val="FootnoteReference"/>
          <w:lang w:val="en-GB"/>
        </w:rPr>
        <w:footnoteReference w:id="36"/>
      </w:r>
      <w:r w:rsidR="000E7F13" w:rsidRPr="000E7F13">
        <w:rPr>
          <w:lang w:val="en-GB"/>
        </w:rPr>
        <w:t>. The need to clearly and publically explain decisions is particularly important in corruption cases given the heightened risk of political interference often associated with cases.</w:t>
      </w:r>
      <w:r>
        <w:rPr>
          <w:lang w:val="en-GB"/>
        </w:rPr>
        <w:br/>
      </w:r>
      <w:r>
        <w:rPr>
          <w:u w:val="single"/>
          <w:lang w:val="en-GB"/>
        </w:rPr>
        <w:t>OGP Status</w:t>
      </w:r>
      <w:r>
        <w:rPr>
          <w:lang w:val="en-GB"/>
        </w:rPr>
        <w:t>: N/A (draft commitment)</w:t>
      </w:r>
      <w:r w:rsidR="000E7F13" w:rsidRPr="000E7F13">
        <w:rPr>
          <w:lang w:val="en-GB"/>
        </w:rPr>
        <w:t xml:space="preserve">  </w:t>
      </w:r>
    </w:p>
    <w:p w14:paraId="6F991965" w14:textId="77777777" w:rsidR="00521856" w:rsidRPr="00521856" w:rsidRDefault="00521856" w:rsidP="00521856">
      <w:pPr>
        <w:tabs>
          <w:tab w:val="left" w:pos="2740"/>
        </w:tabs>
        <w:rPr>
          <w:lang w:val="en-GB"/>
        </w:rPr>
      </w:pPr>
    </w:p>
    <w:sectPr w:rsidR="00521856" w:rsidRPr="00521856" w:rsidSect="0068665C">
      <w:headerReference w:type="default" r:id="rId10"/>
      <w:footerReference w:type="even" r:id="rId11"/>
      <w:footerReference w:type="default" r:id="rId12"/>
      <w:pgSz w:w="11900" w:h="16840"/>
      <w:pgMar w:top="1701" w:right="1701" w:bottom="2835" w:left="1758" w:header="510" w:footer="1304"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2DD36" w14:textId="77777777" w:rsidR="00535BE4" w:rsidRDefault="00535BE4">
      <w:pPr>
        <w:spacing w:after="0" w:line="240" w:lineRule="auto"/>
      </w:pPr>
      <w:r>
        <w:separator/>
      </w:r>
    </w:p>
    <w:p w14:paraId="472D3643" w14:textId="77777777" w:rsidR="00535BE4" w:rsidRDefault="00535BE4"/>
  </w:endnote>
  <w:endnote w:type="continuationSeparator" w:id="0">
    <w:p w14:paraId="6363A9DC" w14:textId="77777777" w:rsidR="00535BE4" w:rsidRDefault="00535BE4">
      <w:pPr>
        <w:spacing w:after="0" w:line="240" w:lineRule="auto"/>
      </w:pPr>
      <w:r>
        <w:continuationSeparator/>
      </w:r>
    </w:p>
    <w:p w14:paraId="01783C89" w14:textId="77777777" w:rsidR="00535BE4" w:rsidRDefault="0053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Narrow Bold">
    <w:panose1 w:val="020B07060202020302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390F" w14:textId="77777777" w:rsidR="00B0428E" w:rsidRPr="005A4232" w:rsidRDefault="00B0428E" w:rsidP="00253558">
    <w:pPr>
      <w:pStyle w:val="Footer"/>
      <w:framePr w:wrap="none" w:vAnchor="text" w:hAnchor="margin" w:xAlign="right" w:y="1"/>
      <w:rPr>
        <w:rStyle w:val="PageNumber"/>
        <w:color w:val="777877"/>
      </w:rPr>
    </w:pPr>
    <w:r w:rsidRPr="005A4232">
      <w:rPr>
        <w:rStyle w:val="PageNumber"/>
        <w:color w:val="777877"/>
      </w:rPr>
      <w:fldChar w:fldCharType="begin"/>
    </w:r>
    <w:r w:rsidRPr="005A4232">
      <w:rPr>
        <w:rStyle w:val="PageNumber"/>
        <w:color w:val="777877"/>
      </w:rPr>
      <w:instrText xml:space="preserve">PAGE  </w:instrText>
    </w:r>
    <w:r w:rsidRPr="005A4232">
      <w:rPr>
        <w:rStyle w:val="PageNumber"/>
        <w:color w:val="777877"/>
      </w:rPr>
      <w:fldChar w:fldCharType="separate"/>
    </w:r>
    <w:r w:rsidR="00767D0B">
      <w:rPr>
        <w:rStyle w:val="PageNumber"/>
        <w:noProof/>
        <w:color w:val="777877"/>
      </w:rPr>
      <w:t>10</w:t>
    </w:r>
    <w:r w:rsidRPr="005A4232">
      <w:rPr>
        <w:rStyle w:val="PageNumber"/>
        <w:color w:val="777877"/>
      </w:rPr>
      <w:fldChar w:fldCharType="end"/>
    </w:r>
  </w:p>
  <w:p w14:paraId="51999771" w14:textId="77777777" w:rsidR="00B0428E" w:rsidRDefault="00B0428E" w:rsidP="00B51855">
    <w:pPr>
      <w:pStyle w:val="Footer"/>
      <w:ind w:right="360" w:firstLine="360"/>
    </w:pPr>
    <w:r w:rsidRPr="005A4232">
      <w:rPr>
        <w:noProof/>
        <w:lang w:val="en-GB" w:eastAsia="en-GB"/>
      </w:rPr>
      <mc:AlternateContent>
        <mc:Choice Requires="wps">
          <w:drawing>
            <wp:anchor distT="0" distB="0" distL="114300" distR="114300" simplePos="0" relativeHeight="251663872" behindDoc="0" locked="0" layoutInCell="1" allowOverlap="1" wp14:anchorId="09ECDCF5" wp14:editId="5EE552CE">
              <wp:simplePos x="0" y="0"/>
              <wp:positionH relativeFrom="column">
                <wp:posOffset>3173730</wp:posOffset>
              </wp:positionH>
              <wp:positionV relativeFrom="paragraph">
                <wp:posOffset>241300</wp:posOffset>
              </wp:positionV>
              <wp:extent cx="2232025" cy="179705"/>
              <wp:effectExtent l="0" t="0" r="3175" b="2349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70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BBFD626" w14:textId="77777777" w:rsidR="00B0428E" w:rsidRPr="005A4232" w:rsidRDefault="00B0428E" w:rsidP="005A4232">
                          <w:pPr>
                            <w:jc w:val="right"/>
                            <w:rPr>
                              <w:rFonts w:ascii="Arial Narrow" w:hAnsi="Arial Narrow"/>
                              <w:color w:val="777877"/>
                              <w:sz w:val="16"/>
                              <w:szCs w:val="16"/>
                            </w:rPr>
                          </w:pPr>
                          <w:r>
                            <w:rPr>
                              <w:rFonts w:ascii="Arial Narrow" w:hAnsi="Arial Narrow"/>
                              <w:color w:val="777877"/>
                              <w:sz w:val="16"/>
                              <w:szCs w:val="16"/>
                            </w:rPr>
                            <w:t>TRANSPARENCY INTERNATIONAL</w:t>
                          </w:r>
                        </w:p>
                        <w:p w14:paraId="19874440" w14:textId="77777777" w:rsidR="00B0428E" w:rsidRPr="005A4232" w:rsidRDefault="00B0428E" w:rsidP="005A4232">
                          <w:pPr>
                            <w:jc w:val="right"/>
                            <w:rPr>
                              <w:rFonts w:ascii="Arial Narrow" w:hAnsi="Arial Narrow"/>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CDCF5" id="_x0000_t202" coordsize="21600,21600" o:spt="202" path="m,l,21600r21600,l21600,xe">
              <v:stroke joinstyle="miter"/>
              <v:path gradientshapeok="t" o:connecttype="rect"/>
            </v:shapetype>
            <v:shape id="Text Box 14" o:spid="_x0000_s1026" type="#_x0000_t202" style="position:absolute;left:0;text-align:left;margin-left:249.9pt;margin-top:19pt;width:175.75pt;height:1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TpPgIAADc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" filled="f" stroked="f">
              <v:textbox inset="0,0,0,0">
                <w:txbxContent>
                  <w:p w14:paraId="4BBFD626" w14:textId="77777777" w:rsidR="00B0428E" w:rsidRPr="005A4232" w:rsidRDefault="00B0428E" w:rsidP="005A4232">
                    <w:pPr>
                      <w:jc w:val="right"/>
                      <w:rPr>
                        <w:rFonts w:ascii="Arial Narrow" w:hAnsi="Arial Narrow"/>
                        <w:color w:val="777877"/>
                        <w:sz w:val="16"/>
                        <w:szCs w:val="16"/>
                      </w:rPr>
                    </w:pPr>
                    <w:r>
                      <w:rPr>
                        <w:rFonts w:ascii="Arial Narrow" w:hAnsi="Arial Narrow"/>
                        <w:color w:val="777877"/>
                        <w:sz w:val="16"/>
                        <w:szCs w:val="16"/>
                      </w:rPr>
                      <w:t>TRANSPARENCY INTERNATIONAL</w:t>
                    </w:r>
                  </w:p>
                  <w:p w14:paraId="19874440" w14:textId="77777777" w:rsidR="00B0428E" w:rsidRPr="005A4232" w:rsidRDefault="00B0428E" w:rsidP="005A4232">
                    <w:pPr>
                      <w:jc w:val="right"/>
                      <w:rPr>
                        <w:rFonts w:ascii="Arial Narrow" w:hAnsi="Arial Narrow"/>
                        <w:sz w:val="16"/>
                        <w:szCs w:val="16"/>
                      </w:rPr>
                    </w:pPr>
                  </w:p>
                </w:txbxContent>
              </v:textbox>
            </v:shape>
          </w:pict>
        </mc:Fallback>
      </mc:AlternateContent>
    </w:r>
    <w:r w:rsidRPr="005A4232">
      <w:rPr>
        <w:noProof/>
        <w:lang w:val="en-GB" w:eastAsia="en-GB"/>
      </w:rPr>
      <w:drawing>
        <wp:anchor distT="0" distB="0" distL="114300" distR="114300" simplePos="0" relativeHeight="251664896" behindDoc="1" locked="0" layoutInCell="1" allowOverlap="1" wp14:anchorId="1EA6A4B2" wp14:editId="7A08FDCD">
          <wp:simplePos x="0" y="0"/>
          <wp:positionH relativeFrom="column">
            <wp:posOffset>3175</wp:posOffset>
          </wp:positionH>
          <wp:positionV relativeFrom="paragraph">
            <wp:posOffset>133985</wp:posOffset>
          </wp:positionV>
          <wp:extent cx="5399405" cy="32385"/>
          <wp:effectExtent l="0" t="0" r="10795" b="0"/>
          <wp:wrapNone/>
          <wp:docPr id="14" name=" 17" descr="lin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descr="line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323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5F02" w14:textId="77777777" w:rsidR="00B0428E" w:rsidRDefault="00B0428E" w:rsidP="00AA26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7D0B">
      <w:rPr>
        <w:rStyle w:val="PageNumber"/>
        <w:noProof/>
      </w:rPr>
      <w:t>1</w:t>
    </w:r>
    <w:r>
      <w:rPr>
        <w:rStyle w:val="PageNumber"/>
      </w:rPr>
      <w:fldChar w:fldCharType="end"/>
    </w:r>
  </w:p>
  <w:p w14:paraId="2820BE9F" w14:textId="77777777" w:rsidR="00B0428E" w:rsidRDefault="00B0428E" w:rsidP="00253558">
    <w:pPr>
      <w:pStyle w:val="Footer"/>
      <w:ind w:right="360" w:firstLine="360"/>
    </w:pPr>
    <w:r w:rsidRPr="005A4232">
      <w:rPr>
        <w:noProof/>
        <w:lang w:val="en-GB" w:eastAsia="en-GB"/>
      </w:rPr>
      <mc:AlternateContent>
        <mc:Choice Requires="wps">
          <w:drawing>
            <wp:anchor distT="0" distB="0" distL="114300" distR="114300" simplePos="0" relativeHeight="251666944" behindDoc="0" locked="0" layoutInCell="1" allowOverlap="1" wp14:anchorId="45FDAA11" wp14:editId="2F722D1C">
              <wp:simplePos x="0" y="0"/>
              <wp:positionH relativeFrom="column">
                <wp:posOffset>3173730</wp:posOffset>
              </wp:positionH>
              <wp:positionV relativeFrom="paragraph">
                <wp:posOffset>241300</wp:posOffset>
              </wp:positionV>
              <wp:extent cx="2232025" cy="179705"/>
              <wp:effectExtent l="0" t="0" r="3175" b="2349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70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9B9684B" w14:textId="77777777" w:rsidR="00B0428E" w:rsidRPr="005A4232" w:rsidRDefault="00B0428E" w:rsidP="00253558">
                          <w:pPr>
                            <w:jc w:val="right"/>
                            <w:rPr>
                              <w:rFonts w:ascii="Arial Narrow" w:hAnsi="Arial Narrow"/>
                              <w:color w:val="777877"/>
                              <w:sz w:val="16"/>
                              <w:szCs w:val="16"/>
                            </w:rPr>
                          </w:pPr>
                          <w:r>
                            <w:rPr>
                              <w:rFonts w:ascii="Arial Narrow" w:hAnsi="Arial Narrow"/>
                              <w:color w:val="777877"/>
                              <w:sz w:val="16"/>
                              <w:szCs w:val="16"/>
                            </w:rPr>
                            <w:t>TRANSPARENCY INTERNATIONAL</w:t>
                          </w:r>
                        </w:p>
                        <w:p w14:paraId="08E3054D" w14:textId="77777777" w:rsidR="00B0428E" w:rsidRPr="005A4232" w:rsidRDefault="00B0428E" w:rsidP="00253558">
                          <w:pPr>
                            <w:jc w:val="right"/>
                            <w:rPr>
                              <w:rFonts w:ascii="Arial Narrow" w:hAnsi="Arial Narrow"/>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AA11" id="_x0000_t202" coordsize="21600,21600" o:spt="202" path="m,l,21600r21600,l21600,xe">
              <v:stroke joinstyle="miter"/>
              <v:path gradientshapeok="t" o:connecttype="rect"/>
            </v:shapetype>
            <v:shape id="_x0000_s1027" type="#_x0000_t202" style="position:absolute;left:0;text-align:left;margin-left:249.9pt;margin-top:19pt;width:175.75pt;height:1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9sPwIAAD0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" filled="f" stroked="f">
              <v:textbox inset="0,0,0,0">
                <w:txbxContent>
                  <w:p w14:paraId="69B9684B" w14:textId="77777777" w:rsidR="00B0428E" w:rsidRPr="005A4232" w:rsidRDefault="00B0428E" w:rsidP="00253558">
                    <w:pPr>
                      <w:jc w:val="right"/>
                      <w:rPr>
                        <w:rFonts w:ascii="Arial Narrow" w:hAnsi="Arial Narrow"/>
                        <w:color w:val="777877"/>
                        <w:sz w:val="16"/>
                        <w:szCs w:val="16"/>
                      </w:rPr>
                    </w:pPr>
                    <w:r>
                      <w:rPr>
                        <w:rFonts w:ascii="Arial Narrow" w:hAnsi="Arial Narrow"/>
                        <w:color w:val="777877"/>
                        <w:sz w:val="16"/>
                        <w:szCs w:val="16"/>
                      </w:rPr>
                      <w:t>TRANSPARENCY INTERNATIONAL</w:t>
                    </w:r>
                  </w:p>
                  <w:p w14:paraId="08E3054D" w14:textId="77777777" w:rsidR="00B0428E" w:rsidRPr="005A4232" w:rsidRDefault="00B0428E" w:rsidP="00253558">
                    <w:pPr>
                      <w:jc w:val="right"/>
                      <w:rPr>
                        <w:rFonts w:ascii="Arial Narrow" w:hAnsi="Arial Narrow"/>
                        <w:sz w:val="16"/>
                        <w:szCs w:val="16"/>
                      </w:rPr>
                    </w:pPr>
                  </w:p>
                </w:txbxContent>
              </v:textbox>
            </v:shape>
          </w:pict>
        </mc:Fallback>
      </mc:AlternateContent>
    </w:r>
    <w:r w:rsidRPr="005A4232">
      <w:rPr>
        <w:noProof/>
        <w:lang w:val="en-GB" w:eastAsia="en-GB"/>
      </w:rPr>
      <w:drawing>
        <wp:anchor distT="0" distB="0" distL="114300" distR="114300" simplePos="0" relativeHeight="251667968" behindDoc="1" locked="0" layoutInCell="1" allowOverlap="1" wp14:anchorId="4A396A55" wp14:editId="17B10C95">
          <wp:simplePos x="0" y="0"/>
          <wp:positionH relativeFrom="column">
            <wp:posOffset>3175</wp:posOffset>
          </wp:positionH>
          <wp:positionV relativeFrom="paragraph">
            <wp:posOffset>133985</wp:posOffset>
          </wp:positionV>
          <wp:extent cx="5399405" cy="32385"/>
          <wp:effectExtent l="0" t="0" r="10795" b="0"/>
          <wp:wrapNone/>
          <wp:docPr id="2" name=" 17" descr="lin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descr="line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32385"/>
                  </a:xfrm>
                  <a:prstGeom prst="rect">
                    <a:avLst/>
                  </a:prstGeom>
                  <a:noFill/>
                </pic:spPr>
              </pic:pic>
            </a:graphicData>
          </a:graphic>
          <wp14:sizeRelH relativeFrom="page">
            <wp14:pctWidth>0</wp14:pctWidth>
          </wp14:sizeRelH>
          <wp14:sizeRelV relativeFrom="page">
            <wp14:pctHeight>0</wp14:pctHeight>
          </wp14:sizeRelV>
        </wp:anchor>
      </w:drawing>
    </w:r>
  </w:p>
  <w:p w14:paraId="0B3DAD03" w14:textId="77777777" w:rsidR="00B0428E" w:rsidRDefault="00B0428E" w:rsidP="002535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8D491" w14:textId="77777777" w:rsidR="00535BE4" w:rsidRDefault="00767D0B" w:rsidP="00557087">
      <w:pPr>
        <w:spacing w:after="0" w:line="240" w:lineRule="auto"/>
      </w:pPr>
      <w:r>
        <w:pict w14:anchorId="60647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85pt;height:7.55pt" o:hrpct="0" o:hr="t">
            <v:imagedata r:id="rId1" o:title=""/>
          </v:shape>
        </w:pict>
      </w:r>
    </w:p>
  </w:footnote>
  <w:footnote w:type="continuationSeparator" w:id="0">
    <w:p w14:paraId="021029DF" w14:textId="77777777" w:rsidR="00535BE4" w:rsidRDefault="00535BE4" w:rsidP="00557087">
      <w:pPr>
        <w:spacing w:after="0" w:line="240" w:lineRule="auto"/>
      </w:pPr>
      <w:r>
        <w:continuationSeparator/>
      </w:r>
    </w:p>
    <w:p w14:paraId="412306C9" w14:textId="77777777" w:rsidR="00535BE4" w:rsidRDefault="00535BE4"/>
  </w:footnote>
  <w:footnote w:id="1">
    <w:p w14:paraId="7E3C7177" w14:textId="77777777" w:rsidR="00B0428E" w:rsidRPr="0070547F" w:rsidRDefault="00B0428E" w:rsidP="004C7FA8">
      <w:pPr>
        <w:pStyle w:val="FootnoteText"/>
      </w:pPr>
      <w:r>
        <w:rPr>
          <w:rStyle w:val="FootnoteReference"/>
        </w:rPr>
        <w:footnoteRef/>
      </w:r>
      <w:r>
        <w:t xml:space="preserve"> </w:t>
      </w:r>
      <w:r w:rsidRPr="00213FFB">
        <w:t>http://goo.gl/R6oV68</w:t>
      </w:r>
    </w:p>
  </w:footnote>
  <w:footnote w:id="2">
    <w:p w14:paraId="6FD9CB0D" w14:textId="77777777" w:rsidR="00B0428E" w:rsidRPr="0070547F" w:rsidRDefault="00B0428E" w:rsidP="004C7FA8">
      <w:pPr>
        <w:pStyle w:val="FootnoteText"/>
      </w:pPr>
      <w:r>
        <w:rPr>
          <w:rStyle w:val="FootnoteReference"/>
        </w:rPr>
        <w:footnoteRef/>
      </w:r>
      <w:r>
        <w:t xml:space="preserve"> </w:t>
      </w:r>
      <w:r w:rsidRPr="00213FFB">
        <w:t>http://goo.gl/tY6HkJ</w:t>
      </w:r>
    </w:p>
  </w:footnote>
  <w:footnote w:id="3">
    <w:p w14:paraId="114FB66D" w14:textId="77777777" w:rsidR="00B0428E" w:rsidRDefault="00B0428E">
      <w:pPr>
        <w:pStyle w:val="FootnoteText"/>
      </w:pPr>
      <w:r>
        <w:rPr>
          <w:rStyle w:val="FootnoteReference"/>
        </w:rPr>
        <w:footnoteRef/>
      </w:r>
      <w:r>
        <w:t xml:space="preserve"> See DFID’s </w:t>
      </w:r>
      <w:r w:rsidRPr="00B37170">
        <w:rPr>
          <w:i/>
        </w:rPr>
        <w:t>Why corruption matters: understanding, causes, effects and how to address them. Evidence paper</w:t>
      </w:r>
      <w:r>
        <w:t xml:space="preserve"> on </w:t>
      </w:r>
      <w:r w:rsidRPr="00B37170">
        <w:rPr>
          <w:i/>
        </w:rPr>
        <w:t>corruption</w:t>
      </w:r>
      <w:r>
        <w:t xml:space="preserve"> for a recent review of areas crucial in tackling corruption. Accessible online at:</w:t>
      </w:r>
      <w:r w:rsidRPr="00213FFB">
        <w:t xml:space="preserve"> https://goo.gl/pKWdT3</w:t>
      </w:r>
      <w:r>
        <w:t xml:space="preserve"> </w:t>
      </w:r>
    </w:p>
  </w:footnote>
  <w:footnote w:id="4">
    <w:p w14:paraId="3A161B16" w14:textId="77777777" w:rsidR="00B0428E" w:rsidRPr="001B032C" w:rsidRDefault="00B0428E" w:rsidP="009D0CF7">
      <w:pPr>
        <w:pStyle w:val="FootnoteText"/>
      </w:pPr>
      <w:r>
        <w:rPr>
          <w:rStyle w:val="FootnoteReference"/>
        </w:rPr>
        <w:footnoteRef/>
      </w:r>
      <w:r>
        <w:t xml:space="preserve"> </w:t>
      </w:r>
      <w:r w:rsidRPr="001B032C">
        <w:t xml:space="preserve">The analysis is based on the data made available by the OGP </w:t>
      </w:r>
      <w:r>
        <w:t xml:space="preserve">Explorer </w:t>
      </w:r>
      <w:r w:rsidRPr="001B032C">
        <w:t>which covers all three national action plan cycles</w:t>
      </w:r>
      <w:r>
        <w:t xml:space="preserve"> as of September 2015</w:t>
      </w:r>
      <w:r w:rsidRPr="001B032C">
        <w:t>.</w:t>
      </w:r>
      <w:r>
        <w:t xml:space="preserve"> A</w:t>
      </w:r>
      <w:r w:rsidRPr="0019322C">
        <w:t xml:space="preserve">ny </w:t>
      </w:r>
      <w:r>
        <w:t>more recent</w:t>
      </w:r>
      <w:r w:rsidRPr="0019322C">
        <w:t xml:space="preserve"> IRM reports or action plans may not be included in this analysis. Furthermore there are only 62 countries in the database of the 69 countries currently in OGP.</w:t>
      </w:r>
      <w:r w:rsidRPr="001B032C">
        <w:t xml:space="preserve"> The classifications (tags) of the commitments used in this analysis corresponds to the one proposed by OGP.</w:t>
      </w:r>
      <w:r>
        <w:t xml:space="preserve"> </w:t>
      </w:r>
    </w:p>
  </w:footnote>
  <w:footnote w:id="5">
    <w:p w14:paraId="7D19EA43" w14:textId="77777777" w:rsidR="00B0428E" w:rsidRPr="00E05735" w:rsidRDefault="00B0428E" w:rsidP="007540A1">
      <w:pPr>
        <w:pStyle w:val="FootnoteText"/>
      </w:pPr>
      <w:r>
        <w:rPr>
          <w:rStyle w:val="FootnoteReference"/>
        </w:rPr>
        <w:footnoteRef/>
      </w:r>
      <w:r>
        <w:t xml:space="preserve"> Public integrity measures is the broad classification defined by the OGP Explorer. It includes the following sub-categories: anti-corruption, conflict of interest, asset disclosure, audits and control and whistleblower protection. </w:t>
      </w:r>
      <w:r w:rsidRPr="00E05735">
        <w:t xml:space="preserve">Commitments that indirectly improve the level of public integrity are not considered </w:t>
      </w:r>
      <w:r>
        <w:t>here</w:t>
      </w:r>
      <w:r w:rsidRPr="00E05735">
        <w:t>.</w:t>
      </w:r>
    </w:p>
  </w:footnote>
  <w:footnote w:id="6">
    <w:p w14:paraId="663D1349" w14:textId="77777777" w:rsidR="00B0428E" w:rsidRPr="00B1504D" w:rsidRDefault="00B0428E" w:rsidP="007540A1">
      <w:pPr>
        <w:pStyle w:val="FootnoteText"/>
      </w:pPr>
      <w:r>
        <w:rPr>
          <w:rStyle w:val="FootnoteReference"/>
        </w:rPr>
        <w:footnoteRef/>
      </w:r>
      <w:r>
        <w:t xml:space="preserve"> Countries that did not have their commitments classified as a public integrity measure: A</w:t>
      </w:r>
      <w:r w:rsidRPr="00B1504D">
        <w:t>rgentina</w:t>
      </w:r>
      <w:r>
        <w:t xml:space="preserve">, </w:t>
      </w:r>
      <w:r w:rsidRPr="00B1504D">
        <w:t>Bulgaria, Canada</w:t>
      </w:r>
      <w:r>
        <w:t xml:space="preserve">, </w:t>
      </w:r>
      <w:r w:rsidRPr="00B1504D">
        <w:t>Denmark, Finland, Indonesia</w:t>
      </w:r>
      <w:r>
        <w:t xml:space="preserve">, </w:t>
      </w:r>
      <w:r w:rsidRPr="00B1504D">
        <w:t>Israel, Kenya, Malta</w:t>
      </w:r>
      <w:r>
        <w:t xml:space="preserve">, </w:t>
      </w:r>
      <w:r w:rsidRPr="00B1504D">
        <w:t>Panama</w:t>
      </w:r>
      <w:r>
        <w:t xml:space="preserve">, </w:t>
      </w:r>
      <w:r w:rsidRPr="00B1504D">
        <w:t>Paraguay</w:t>
      </w:r>
      <w:r>
        <w:t>, S</w:t>
      </w:r>
      <w:r w:rsidRPr="00B1504D">
        <w:t>pain</w:t>
      </w:r>
      <w:r>
        <w:t>, S</w:t>
      </w:r>
      <w:r w:rsidRPr="00B1504D">
        <w:t>weden</w:t>
      </w:r>
      <w:r>
        <w:t>, T</w:t>
      </w:r>
      <w:r w:rsidRPr="00B1504D">
        <w:t>anzania</w:t>
      </w:r>
      <w:r>
        <w:t xml:space="preserve">, </w:t>
      </w:r>
      <w:r w:rsidRPr="00B1504D">
        <w:t>Uruguay</w:t>
      </w:r>
    </w:p>
  </w:footnote>
  <w:footnote w:id="7">
    <w:p w14:paraId="5019B69A" w14:textId="77777777" w:rsidR="00B0428E" w:rsidRPr="004E5BEE" w:rsidRDefault="00B0428E" w:rsidP="0015106D">
      <w:pPr>
        <w:pStyle w:val="FootnoteText"/>
      </w:pPr>
      <w:r>
        <w:rPr>
          <w:rStyle w:val="FootnoteReference"/>
        </w:rPr>
        <w:footnoteRef/>
      </w:r>
      <w:r>
        <w:t xml:space="preserve"> TI Mexico participated in the drafting of the bill and this initiative. They are currently collecting signatures to make Congress consider the bill.</w:t>
      </w:r>
    </w:p>
  </w:footnote>
  <w:footnote w:id="8">
    <w:p w14:paraId="11428FE1" w14:textId="7EAE7547" w:rsidR="004650FB" w:rsidRPr="004650FB" w:rsidRDefault="004650FB">
      <w:pPr>
        <w:pStyle w:val="FootnoteText"/>
      </w:pPr>
      <w:r>
        <w:rPr>
          <w:rStyle w:val="FootnoteReference"/>
        </w:rPr>
        <w:footnoteRef/>
      </w:r>
      <w:r>
        <w:t xml:space="preserve"> </w:t>
      </w:r>
      <w:r w:rsidRPr="004650FB">
        <w:t>http://www.opengovguide.com/country-examples/slovenia-and-argentina-randomly-select-asset-disclosures-for-verification/</w:t>
      </w:r>
    </w:p>
  </w:footnote>
  <w:footnote w:id="9">
    <w:p w14:paraId="78D6AE74" w14:textId="77777777" w:rsidR="00B0428E" w:rsidRPr="004E0ABF" w:rsidRDefault="00B0428E" w:rsidP="0015106D">
      <w:pPr>
        <w:pStyle w:val="FootnoteText"/>
      </w:pPr>
      <w:r>
        <w:rPr>
          <w:rStyle w:val="FootnoteReference"/>
        </w:rPr>
        <w:footnoteRef/>
      </w:r>
      <w:r>
        <w:t xml:space="preserve"> </w:t>
      </w:r>
      <w:r w:rsidRPr="004E0ABF">
        <w:t>http://www.u4.no/publications/when-supreme-audit-institutions-engage-with-civil-society-exploring-lessons-from-the-latin-american-transparency-participation-and-accountability-initiative/</w:t>
      </w:r>
    </w:p>
  </w:footnote>
  <w:footnote w:id="10">
    <w:p w14:paraId="5EEF8097" w14:textId="77777777" w:rsidR="00B0428E" w:rsidRPr="00942807" w:rsidRDefault="00B0428E" w:rsidP="0015106D">
      <w:pPr>
        <w:pStyle w:val="FootnoteText"/>
      </w:pPr>
      <w:r>
        <w:rPr>
          <w:rStyle w:val="FootnoteReference"/>
        </w:rPr>
        <w:footnoteRef/>
      </w:r>
      <w:r>
        <w:t xml:space="preserve"> </w:t>
      </w:r>
      <w:r w:rsidRPr="00306924">
        <w:t>https://d3n8a8pro7vhmx.cloudfront.net/opencontracting/pages/342/attachments/original/1445980672/BriefOpenContractingOGP.pdf?1445980672</w:t>
      </w:r>
    </w:p>
  </w:footnote>
  <w:footnote w:id="11">
    <w:p w14:paraId="252502CA" w14:textId="77777777" w:rsidR="00B0428E" w:rsidRPr="00E816B0" w:rsidRDefault="00B0428E" w:rsidP="0015106D">
      <w:pPr>
        <w:pStyle w:val="FootnoteText"/>
      </w:pPr>
      <w:r>
        <w:rPr>
          <w:rStyle w:val="FootnoteReference"/>
        </w:rPr>
        <w:footnoteRef/>
      </w:r>
      <w:r>
        <w:t xml:space="preserve"> </w:t>
      </w:r>
      <w:r w:rsidRPr="00E816B0">
        <w:t>http://www.opengovguide.com/topics/public-contracting/</w:t>
      </w:r>
    </w:p>
  </w:footnote>
  <w:footnote w:id="12">
    <w:p w14:paraId="17E8C25F" w14:textId="77777777" w:rsidR="00B0428E" w:rsidRDefault="00B0428E" w:rsidP="0015106D">
      <w:pPr>
        <w:pStyle w:val="FootnoteText"/>
      </w:pPr>
      <w:r>
        <w:rPr>
          <w:rStyle w:val="FootnoteReference"/>
        </w:rPr>
        <w:footnoteRef/>
      </w:r>
      <w:r>
        <w:rPr>
          <w:noProof/>
        </w:rPr>
        <w:t xml:space="preserve"> </w:t>
      </w:r>
      <w:r w:rsidRPr="00306924">
        <w:t>http://goo.gl/wEoKEI</w:t>
      </w:r>
    </w:p>
  </w:footnote>
  <w:footnote w:id="13">
    <w:p w14:paraId="577578D2" w14:textId="77777777" w:rsidR="00B0428E" w:rsidRPr="00306924" w:rsidRDefault="00B0428E" w:rsidP="0015106D">
      <w:pPr>
        <w:pStyle w:val="FootnoteText"/>
      </w:pPr>
      <w:r>
        <w:rPr>
          <w:rStyle w:val="FootnoteReference"/>
        </w:rPr>
        <w:footnoteRef/>
      </w:r>
      <w:r>
        <w:t xml:space="preserve"> </w:t>
      </w:r>
      <w:r w:rsidRPr="00306924">
        <w:t>http://www.tacod.eu/</w:t>
      </w:r>
    </w:p>
  </w:footnote>
  <w:footnote w:id="14">
    <w:p w14:paraId="50A906FA" w14:textId="77777777" w:rsidR="00B0428E" w:rsidRDefault="00B0428E" w:rsidP="00213FFB">
      <w:pPr>
        <w:pStyle w:val="FootnoteText"/>
        <w:rPr>
          <w:lang w:val="en-GB"/>
        </w:rPr>
      </w:pPr>
      <w:r>
        <w:rPr>
          <w:rStyle w:val="FootnoteReference"/>
        </w:rPr>
        <w:footnoteRef/>
      </w:r>
      <w:r>
        <w:t xml:space="preserve"> </w:t>
      </w:r>
      <w:r>
        <w:rPr>
          <w:noProof/>
        </w:rPr>
        <w:t>Colombia Action Plan 1: #2.6 (starred commitment)</w:t>
      </w:r>
    </w:p>
  </w:footnote>
  <w:footnote w:id="15">
    <w:p w14:paraId="5E694A65" w14:textId="5F37AB3A" w:rsidR="000E7F13" w:rsidRPr="000E7F13" w:rsidRDefault="000E7F13">
      <w:pPr>
        <w:pStyle w:val="FootnoteText"/>
      </w:pPr>
      <w:r>
        <w:rPr>
          <w:rStyle w:val="FootnoteReference"/>
        </w:rPr>
        <w:footnoteRef/>
      </w:r>
      <w:r>
        <w:t xml:space="preserve"> </w:t>
      </w:r>
      <w:r w:rsidRPr="000E7F13">
        <w:t>www.stopkorrupsionit.al</w:t>
      </w:r>
    </w:p>
  </w:footnote>
  <w:footnote w:id="16">
    <w:p w14:paraId="7F7D73DE" w14:textId="77777777" w:rsidR="00B0428E" w:rsidRPr="006D39BD" w:rsidRDefault="00B0428E">
      <w:pPr>
        <w:pStyle w:val="FootnoteText"/>
      </w:pPr>
      <w:r>
        <w:rPr>
          <w:rStyle w:val="FootnoteReference"/>
        </w:rPr>
        <w:footnoteRef/>
      </w:r>
      <w:r>
        <w:t xml:space="preserve"> </w:t>
      </w:r>
      <w:r w:rsidRPr="006D39BD">
        <w:t>http://www.transparency.org/whatwedo/answer/the_effectiveness_of_codes_of_conduct_for_parliamentarians</w:t>
      </w:r>
    </w:p>
  </w:footnote>
  <w:footnote w:id="17">
    <w:p w14:paraId="0AD2FDB1" w14:textId="77777777" w:rsidR="00B0428E" w:rsidRDefault="00B0428E" w:rsidP="0015106D">
      <w:pPr>
        <w:pStyle w:val="FootnoteText"/>
        <w:rPr>
          <w:lang w:val="en-GB"/>
        </w:rPr>
      </w:pPr>
      <w:r>
        <w:rPr>
          <w:rStyle w:val="FootnoteReference"/>
        </w:rPr>
        <w:footnoteRef/>
      </w:r>
      <w:r>
        <w:t xml:space="preserve"> http://www.transparency.org/whatwedo/answer/the_effectiveness_of_codes_of_conduct_for_parliamentarians</w:t>
      </w:r>
    </w:p>
  </w:footnote>
  <w:footnote w:id="18">
    <w:p w14:paraId="5B5B3475" w14:textId="77777777" w:rsidR="00B0428E" w:rsidRPr="006D39BD" w:rsidRDefault="00B0428E" w:rsidP="006D39BD">
      <w:pPr>
        <w:pStyle w:val="FootnoteText"/>
        <w:rPr>
          <w:lang w:val="en-GB"/>
        </w:rPr>
      </w:pPr>
      <w:r>
        <w:rPr>
          <w:rStyle w:val="FootnoteReference"/>
        </w:rPr>
        <w:footnoteRef/>
      </w:r>
      <w:r>
        <w:t xml:space="preserve"> </w:t>
      </w:r>
      <w:r w:rsidRPr="006D39BD">
        <w:rPr>
          <w:lang w:val="en-GB"/>
        </w:rPr>
        <w:t>Defined as a comprehensive public record of lobbyists’ influence on a piece of legislatio</w:t>
      </w:r>
      <w:r>
        <w:rPr>
          <w:lang w:val="en-GB"/>
        </w:rPr>
        <w:t>n</w:t>
      </w:r>
    </w:p>
  </w:footnote>
  <w:footnote w:id="19">
    <w:p w14:paraId="54F85F71" w14:textId="77777777" w:rsidR="00B0428E" w:rsidRDefault="00B0428E" w:rsidP="0015106D">
      <w:pPr>
        <w:pStyle w:val="FootnoteText"/>
      </w:pPr>
      <w:r>
        <w:rPr>
          <w:rStyle w:val="FootnoteReference"/>
        </w:rPr>
        <w:footnoteRef/>
      </w:r>
      <w:r>
        <w:t xml:space="preserve"> Ireland Action Plan 1: # 3.2. </w:t>
      </w:r>
    </w:p>
  </w:footnote>
  <w:footnote w:id="20">
    <w:p w14:paraId="57726451" w14:textId="77777777" w:rsidR="00B0428E" w:rsidRDefault="00B0428E" w:rsidP="0015106D">
      <w:pPr>
        <w:pStyle w:val="FootnoteText"/>
      </w:pPr>
      <w:r>
        <w:rPr>
          <w:rStyle w:val="FootnoteReference"/>
        </w:rPr>
        <w:footnoteRef/>
      </w:r>
      <w:r>
        <w:t xml:space="preserve"> http://moneypoliticstransparency.org/static/img/MPT_WEB_FINAL_spreads.pdf</w:t>
      </w:r>
    </w:p>
  </w:footnote>
  <w:footnote w:id="21">
    <w:p w14:paraId="5A7F5157" w14:textId="77777777" w:rsidR="00B0428E" w:rsidRDefault="00B0428E" w:rsidP="0015106D">
      <w:pPr>
        <w:pStyle w:val="FootnoteText"/>
      </w:pPr>
      <w:r>
        <w:rPr>
          <w:rStyle w:val="FootnoteReference"/>
        </w:rPr>
        <w:footnoteRef/>
      </w:r>
      <w:r>
        <w:t xml:space="preserve"> It is important to bear in mind that the extent to which increased political finance regulation is effective is highly dependent on local context. In Russia for example, the highly regulated system of political financing has led to the manipulation of access to, and control over, financial resources, thereby entrenching electoral authoritarianism.  </w:t>
      </w:r>
    </w:p>
  </w:footnote>
  <w:footnote w:id="22">
    <w:p w14:paraId="61604F3E" w14:textId="77777777" w:rsidR="00B0428E" w:rsidRPr="00EF2A3A" w:rsidRDefault="00B0428E">
      <w:pPr>
        <w:pStyle w:val="FootnoteText"/>
      </w:pPr>
      <w:r>
        <w:rPr>
          <w:rStyle w:val="FootnoteReference"/>
        </w:rPr>
        <w:footnoteRef/>
      </w:r>
      <w:r>
        <w:t xml:space="preserve"> </w:t>
      </w:r>
      <w:r w:rsidRPr="005B59E4">
        <w:t>http://blog.openingparliament.org/post/60749859717/case-study-5-brazils-e-democracia-project</w:t>
      </w:r>
    </w:p>
  </w:footnote>
  <w:footnote w:id="23">
    <w:p w14:paraId="46CCF928" w14:textId="77777777" w:rsidR="00B0428E" w:rsidRDefault="00B0428E" w:rsidP="0015106D">
      <w:pPr>
        <w:pStyle w:val="FootnoteText"/>
        <w:rPr>
          <w:lang w:val="en-GB"/>
        </w:rPr>
      </w:pPr>
      <w:r>
        <w:rPr>
          <w:rStyle w:val="FootnoteReference"/>
        </w:rPr>
        <w:footnoteRef/>
      </w:r>
      <w:r>
        <w:t xml:space="preserve">Norway </w:t>
      </w:r>
      <w:r>
        <w:rPr>
          <w:lang w:val="en-GB"/>
        </w:rPr>
        <w:t>Action Plan 2: #4.24</w:t>
      </w:r>
    </w:p>
  </w:footnote>
  <w:footnote w:id="24">
    <w:p w14:paraId="407F4222" w14:textId="77777777" w:rsidR="00B0428E" w:rsidRDefault="00B0428E" w:rsidP="0015106D">
      <w:pPr>
        <w:pStyle w:val="FootnoteText"/>
        <w:rPr>
          <w:lang w:val="en-GB"/>
        </w:rPr>
      </w:pPr>
      <w:r>
        <w:rPr>
          <w:rStyle w:val="FootnoteReference"/>
        </w:rPr>
        <w:footnoteRef/>
      </w:r>
      <w:r>
        <w:t xml:space="preserve"> </w:t>
      </w:r>
      <w:r>
        <w:rPr>
          <w:lang w:val="en-GB"/>
        </w:rPr>
        <w:t>UK Action Plan 2: #7 (starred)</w:t>
      </w:r>
    </w:p>
  </w:footnote>
  <w:footnote w:id="25">
    <w:p w14:paraId="6D18DA94" w14:textId="77777777" w:rsidR="00B0428E" w:rsidRDefault="00B0428E" w:rsidP="0015106D">
      <w:pPr>
        <w:pStyle w:val="FootnoteText"/>
        <w:rPr>
          <w:lang w:val="en-GB"/>
        </w:rPr>
      </w:pPr>
      <w:r>
        <w:rPr>
          <w:rStyle w:val="FootnoteReference"/>
        </w:rPr>
        <w:footnoteRef/>
      </w:r>
      <w:r>
        <w:t xml:space="preserve"> http://www.transparency.org/whatwedo/publication/just_for_show_g20_promises</w:t>
      </w:r>
    </w:p>
  </w:footnote>
  <w:footnote w:id="26">
    <w:p w14:paraId="6D8663DD" w14:textId="77777777" w:rsidR="00B0428E" w:rsidRDefault="00B0428E" w:rsidP="0015106D">
      <w:pPr>
        <w:pStyle w:val="FootnoteText"/>
      </w:pPr>
      <w:r>
        <w:rPr>
          <w:rStyle w:val="FootnoteReference"/>
        </w:rPr>
        <w:footnoteRef/>
      </w:r>
      <w:r>
        <w:t xml:space="preserve"> http://www.transparency.org/files/content/corruptionqas/Regulating_private_to_private_corruption_2014.pdf</w:t>
      </w:r>
    </w:p>
  </w:footnote>
  <w:footnote w:id="27">
    <w:p w14:paraId="57B1F81D" w14:textId="77777777" w:rsidR="00B0428E" w:rsidRDefault="00B0428E" w:rsidP="0015106D">
      <w:pPr>
        <w:pStyle w:val="FootnoteText"/>
        <w:rPr>
          <w:lang w:val="en-GB"/>
        </w:rPr>
      </w:pPr>
      <w:r>
        <w:rPr>
          <w:rStyle w:val="FootnoteReference"/>
        </w:rPr>
        <w:footnoteRef/>
      </w:r>
      <w:r>
        <w:t xml:space="preserve"> http://www.transparency.org/whatwedo/publication/policy_brief_04_2014_regulating_luxury_investments</w:t>
      </w:r>
    </w:p>
  </w:footnote>
  <w:footnote w:id="28">
    <w:p w14:paraId="618860DA" w14:textId="77777777" w:rsidR="00B0428E" w:rsidRDefault="00B0428E" w:rsidP="0015106D">
      <w:pPr>
        <w:pStyle w:val="FootnoteText"/>
        <w:rPr>
          <w:b/>
          <w:lang w:val="es-ES_tradnl"/>
        </w:rPr>
      </w:pPr>
      <w:r>
        <w:rPr>
          <w:rStyle w:val="FootnoteReference"/>
        </w:rPr>
        <w:footnoteRef/>
      </w:r>
      <w:r>
        <w:rPr>
          <w:lang w:val="es-ES_tradnl"/>
        </w:rPr>
        <w:t xml:space="preserve"> USA (AP 2; #18):</w:t>
      </w:r>
    </w:p>
  </w:footnote>
  <w:footnote w:id="29">
    <w:p w14:paraId="47F86FC0" w14:textId="77777777" w:rsidR="00B0428E" w:rsidRPr="00C96574" w:rsidRDefault="00B0428E" w:rsidP="0015106D">
      <w:pPr>
        <w:pStyle w:val="FootnoteText"/>
        <w:rPr>
          <w:lang w:val="es-ES_tradnl"/>
        </w:rPr>
      </w:pPr>
      <w:r>
        <w:rPr>
          <w:rStyle w:val="FootnoteReference"/>
        </w:rPr>
        <w:footnoteRef/>
      </w:r>
      <w:r w:rsidRPr="00C96574">
        <w:rPr>
          <w:lang w:val="es-ES_tradnl"/>
        </w:rPr>
        <w:t xml:space="preserve"> http://www.oecd.org/dac/governance-peace/governance/docs/Hard%20Facts%20Stolen%20Asset%20Recovery.pdf</w:t>
      </w:r>
    </w:p>
  </w:footnote>
  <w:footnote w:id="30">
    <w:p w14:paraId="20E3E973" w14:textId="77777777" w:rsidR="00B0428E" w:rsidRPr="00C96574" w:rsidRDefault="00B0428E" w:rsidP="0015106D">
      <w:pPr>
        <w:pStyle w:val="FootnoteText"/>
        <w:rPr>
          <w:lang w:val="es-ES_tradnl"/>
        </w:rPr>
      </w:pPr>
      <w:r>
        <w:rPr>
          <w:rStyle w:val="FootnoteReference"/>
        </w:rPr>
        <w:footnoteRef/>
      </w:r>
      <w:r w:rsidRPr="00C96574">
        <w:rPr>
          <w:lang w:val="es-ES_tradnl"/>
        </w:rPr>
        <w:t xml:space="preserve"> http://www.nytimes.com/2016/02/17/business/wanted-by-the-us-the-stolen-millions-of-despots-and-crooked-elites.html?ref=topics&amp;_r=1</w:t>
      </w:r>
    </w:p>
  </w:footnote>
  <w:footnote w:id="31">
    <w:p w14:paraId="627FAC4E" w14:textId="77777777" w:rsidR="00B0428E" w:rsidRPr="00C96574" w:rsidRDefault="00B0428E" w:rsidP="0015106D">
      <w:pPr>
        <w:pStyle w:val="FootnoteText"/>
        <w:rPr>
          <w:lang w:val="es-ES_tradnl"/>
        </w:rPr>
      </w:pPr>
      <w:r>
        <w:rPr>
          <w:rStyle w:val="FootnoteReference"/>
        </w:rPr>
        <w:footnoteRef/>
      </w:r>
      <w:r w:rsidRPr="00C96574">
        <w:rPr>
          <w:lang w:val="es-ES_tradnl"/>
        </w:rPr>
        <w:t xml:space="preserve"> https://www.wilsoncenter.org/sites/default/files/tackling_corruption_and_impunity-_honduras_guatemala_and_mexico_4.pdf</w:t>
      </w:r>
    </w:p>
  </w:footnote>
  <w:footnote w:id="32">
    <w:p w14:paraId="570209C5" w14:textId="77777777" w:rsidR="00B0428E" w:rsidRPr="007F0ED8" w:rsidRDefault="00B0428E" w:rsidP="0015106D">
      <w:pPr>
        <w:pStyle w:val="FootnoteText"/>
      </w:pPr>
      <w:r>
        <w:rPr>
          <w:rStyle w:val="FootnoteReference"/>
        </w:rPr>
        <w:footnoteRef/>
      </w:r>
      <w:r w:rsidRPr="007F0ED8">
        <w:t xml:space="preserve"> Brazil Action Plan 2: # 1.1</w:t>
      </w:r>
    </w:p>
  </w:footnote>
  <w:footnote w:id="33">
    <w:p w14:paraId="043DB7D1" w14:textId="77777777" w:rsidR="00B0428E" w:rsidRDefault="00B0428E" w:rsidP="0015106D">
      <w:pPr>
        <w:pStyle w:val="FootnoteText"/>
        <w:rPr>
          <w:lang w:val="en-GB"/>
        </w:rPr>
      </w:pPr>
      <w:r>
        <w:rPr>
          <w:rStyle w:val="FootnoteReference"/>
        </w:rPr>
        <w:footnoteRef/>
      </w:r>
      <w:r>
        <w:t xml:space="preserve"> </w:t>
      </w:r>
      <w:r>
        <w:rPr>
          <w:noProof/>
        </w:rPr>
        <w:t>Peru Action Plan 1: #3.e (starred commitment)</w:t>
      </w:r>
    </w:p>
  </w:footnote>
  <w:footnote w:id="34">
    <w:p w14:paraId="4EC179F5" w14:textId="77777777" w:rsidR="00B0428E" w:rsidRDefault="00B0428E" w:rsidP="0015106D">
      <w:pPr>
        <w:pStyle w:val="FootnoteText"/>
        <w:rPr>
          <w:lang w:val="en-GB"/>
        </w:rPr>
      </w:pPr>
      <w:r>
        <w:rPr>
          <w:rStyle w:val="FootnoteReference"/>
        </w:rPr>
        <w:footnoteRef/>
      </w:r>
      <w:r>
        <w:t xml:space="preserve"> https://www.transparency.de/fileadmin/pdfs/Themen/Justiz/Statutes%20of%20Limitation_report_TI-S_Nov%202010.pdf</w:t>
      </w:r>
    </w:p>
  </w:footnote>
  <w:footnote w:id="35">
    <w:p w14:paraId="0C4DCA75" w14:textId="2E599FE0" w:rsidR="009A0423" w:rsidRPr="009A0423" w:rsidRDefault="009A0423">
      <w:pPr>
        <w:pStyle w:val="FootnoteText"/>
        <w:rPr>
          <w:lang w:val="en-GB"/>
        </w:rPr>
      </w:pPr>
      <w:r>
        <w:rPr>
          <w:rStyle w:val="FootnoteReference"/>
        </w:rPr>
        <w:footnoteRef/>
      </w:r>
      <w:r>
        <w:t xml:space="preserve"> </w:t>
      </w:r>
      <w:r w:rsidRPr="009A0423">
        <w:t>http://www.opengovpartnership.org/sites/default/files/Ukraine_Second_IRM_Report_PublicComment_ENG.pdf</w:t>
      </w:r>
    </w:p>
  </w:footnote>
  <w:footnote w:id="36">
    <w:p w14:paraId="3EE7662C" w14:textId="63370D20" w:rsidR="000E7F13" w:rsidRPr="00086E03" w:rsidRDefault="000E7F13">
      <w:pPr>
        <w:pStyle w:val="FootnoteText"/>
        <w:rPr>
          <w:lang w:val="en-GB"/>
        </w:rPr>
      </w:pPr>
      <w:r>
        <w:rPr>
          <w:rStyle w:val="FootnoteReference"/>
        </w:rPr>
        <w:footnoteRef/>
      </w:r>
      <w:r>
        <w:t xml:space="preserve"> </w:t>
      </w:r>
      <w:r w:rsidRPr="000E7F13">
        <w:t>http://www.transparency.ge/sites/default/files/post_attachments/georgia_national_integrity_nis_assessment_2015.pdf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C030" w14:textId="77777777" w:rsidR="00B0428E" w:rsidRDefault="00B0428E">
    <w:pPr>
      <w:pStyle w:val="Header"/>
    </w:pPr>
  </w:p>
  <w:p w14:paraId="14C3DEB9" w14:textId="77777777" w:rsidR="00B0428E" w:rsidRDefault="00B04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12" type="#_x0000_t75" style="width:9pt;height:6pt" o:bullet="t">
        <v:imagedata r:id="rId1" o:title=""/>
      </v:shape>
    </w:pict>
  </w:numPicBullet>
  <w:abstractNum w:abstractNumId="0">
    <w:nsid w:val="07A61BA5"/>
    <w:multiLevelType w:val="hybridMultilevel"/>
    <w:tmpl w:val="4EC8DF4C"/>
    <w:lvl w:ilvl="0" w:tplc="15549ADC">
      <w:start w:val="1"/>
      <w:numFmt w:val="bullet"/>
      <w:lvlText w:val=""/>
      <w:lvlPicBulletId w:val="0"/>
      <w:lvlJc w:val="left"/>
      <w:pPr>
        <w:ind w:left="1004" w:hanging="360"/>
      </w:pPr>
      <w:rPr>
        <w:rFonts w:ascii="Symbol" w:hAnsi="Symbol" w:hint="default"/>
        <w:color w:val="009FE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1097A"/>
    <w:multiLevelType w:val="hybridMultilevel"/>
    <w:tmpl w:val="1036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6D3A2E"/>
    <w:multiLevelType w:val="hybridMultilevel"/>
    <w:tmpl w:val="A9E2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845071"/>
    <w:multiLevelType w:val="hybridMultilevel"/>
    <w:tmpl w:val="7B46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580FCC"/>
    <w:multiLevelType w:val="hybridMultilevel"/>
    <w:tmpl w:val="70AAB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6CD50E8"/>
    <w:multiLevelType w:val="multilevel"/>
    <w:tmpl w:val="91C6C87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6">
    <w:nsid w:val="2888186D"/>
    <w:multiLevelType w:val="hybridMultilevel"/>
    <w:tmpl w:val="71EA8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AC57477"/>
    <w:multiLevelType w:val="hybridMultilevel"/>
    <w:tmpl w:val="1D8CFD16"/>
    <w:lvl w:ilvl="0" w:tplc="94DE93D2">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44314A4F"/>
    <w:multiLevelType w:val="multilevel"/>
    <w:tmpl w:val="1F72B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8A061BD"/>
    <w:multiLevelType w:val="hybridMultilevel"/>
    <w:tmpl w:val="B52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B9658C"/>
    <w:multiLevelType w:val="hybridMultilevel"/>
    <w:tmpl w:val="10CE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D2955"/>
    <w:multiLevelType w:val="hybridMultilevel"/>
    <w:tmpl w:val="FB5A37B0"/>
    <w:lvl w:ilvl="0" w:tplc="B942A54C">
      <w:start w:val="1"/>
      <w:numFmt w:val="bullet"/>
      <w:lvlText w:val=""/>
      <w:lvlJc w:val="left"/>
      <w:pPr>
        <w:ind w:left="1004" w:hanging="360"/>
      </w:pPr>
      <w:rPr>
        <w:rFonts w:ascii="Symbol" w:hAnsi="Symbol" w:hint="default"/>
        <w:color w:val="009FEE"/>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Symbol" w:hAnsi="Symbol"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Symbol" w:hAnsi="Symbol" w:hint="default"/>
      </w:rPr>
    </w:lvl>
  </w:abstractNum>
  <w:abstractNum w:abstractNumId="12">
    <w:nsid w:val="53936586"/>
    <w:multiLevelType w:val="hybridMultilevel"/>
    <w:tmpl w:val="2A32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283B71"/>
    <w:multiLevelType w:val="hybridMultilevel"/>
    <w:tmpl w:val="DA92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DB7E36"/>
    <w:multiLevelType w:val="hybridMultilevel"/>
    <w:tmpl w:val="5BEE0EF2"/>
    <w:lvl w:ilvl="0" w:tplc="B942A54C">
      <w:start w:val="1"/>
      <w:numFmt w:val="bullet"/>
      <w:lvlText w:val=""/>
      <w:lvlJc w:val="left"/>
      <w:pPr>
        <w:ind w:left="1004" w:hanging="360"/>
      </w:pPr>
      <w:rPr>
        <w:rFonts w:ascii="Symbol" w:hAnsi="Symbol" w:hint="default"/>
        <w:color w:val="009FEE"/>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Symbol" w:hAnsi="Symbol"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Symbol" w:hAnsi="Symbol" w:hint="default"/>
      </w:rPr>
    </w:lvl>
  </w:abstractNum>
  <w:abstractNum w:abstractNumId="15">
    <w:nsid w:val="6E7E2C6E"/>
    <w:multiLevelType w:val="hybridMultilevel"/>
    <w:tmpl w:val="7A881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F8B0647"/>
    <w:multiLevelType w:val="hybridMultilevel"/>
    <w:tmpl w:val="E654AA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C73FEA"/>
    <w:multiLevelType w:val="hybridMultilevel"/>
    <w:tmpl w:val="8172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EF1137"/>
    <w:multiLevelType w:val="hybridMultilevel"/>
    <w:tmpl w:val="4A40D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5"/>
  </w:num>
  <w:num w:numId="4">
    <w:abstractNumId w:val="0"/>
  </w:num>
  <w:num w:numId="5">
    <w:abstractNumId w:val="11"/>
  </w:num>
  <w:num w:numId="6">
    <w:abstractNumId w:val="14"/>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7"/>
  </w:num>
  <w:num w:numId="12">
    <w:abstractNumId w:val="13"/>
  </w:num>
  <w:num w:numId="13">
    <w:abstractNumId w:val="2"/>
  </w:num>
  <w:num w:numId="14">
    <w:abstractNumId w:val="1"/>
  </w:num>
  <w:num w:numId="15">
    <w:abstractNumId w:val="3"/>
  </w:num>
  <w:num w:numId="16">
    <w:abstractNumId w:val="15"/>
  </w:num>
  <w:num w:numId="17">
    <w:abstractNumId w:val="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81"/>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1A"/>
    <w:rsid w:val="00084214"/>
    <w:rsid w:val="00086E03"/>
    <w:rsid w:val="000A4D93"/>
    <w:rsid w:val="000E20F9"/>
    <w:rsid w:val="000E7F13"/>
    <w:rsid w:val="0015106D"/>
    <w:rsid w:val="0015223C"/>
    <w:rsid w:val="0015582D"/>
    <w:rsid w:val="00177631"/>
    <w:rsid w:val="00177CE1"/>
    <w:rsid w:val="0019322C"/>
    <w:rsid w:val="001B032C"/>
    <w:rsid w:val="001B0A4C"/>
    <w:rsid w:val="001C0E09"/>
    <w:rsid w:val="001E52FB"/>
    <w:rsid w:val="00213FFB"/>
    <w:rsid w:val="00224B82"/>
    <w:rsid w:val="00252450"/>
    <w:rsid w:val="00253558"/>
    <w:rsid w:val="00260A66"/>
    <w:rsid w:val="002702C9"/>
    <w:rsid w:val="002768B8"/>
    <w:rsid w:val="00277EF9"/>
    <w:rsid w:val="00281926"/>
    <w:rsid w:val="00286F2D"/>
    <w:rsid w:val="00296D3A"/>
    <w:rsid w:val="002C09A9"/>
    <w:rsid w:val="002C27CF"/>
    <w:rsid w:val="002C68DF"/>
    <w:rsid w:val="002F02D9"/>
    <w:rsid w:val="002F661D"/>
    <w:rsid w:val="00317D70"/>
    <w:rsid w:val="003210E5"/>
    <w:rsid w:val="003213C8"/>
    <w:rsid w:val="00346DDD"/>
    <w:rsid w:val="00363957"/>
    <w:rsid w:val="00373B0D"/>
    <w:rsid w:val="003A3CE8"/>
    <w:rsid w:val="003D31AC"/>
    <w:rsid w:val="003F1A1A"/>
    <w:rsid w:val="00400FA0"/>
    <w:rsid w:val="00414B72"/>
    <w:rsid w:val="004364D0"/>
    <w:rsid w:val="00437325"/>
    <w:rsid w:val="00440E8F"/>
    <w:rsid w:val="00445F23"/>
    <w:rsid w:val="004601C9"/>
    <w:rsid w:val="00461B0B"/>
    <w:rsid w:val="004650FB"/>
    <w:rsid w:val="00471D8E"/>
    <w:rsid w:val="00494128"/>
    <w:rsid w:val="004B36F4"/>
    <w:rsid w:val="004C7FA8"/>
    <w:rsid w:val="004D0DB6"/>
    <w:rsid w:val="00511CCB"/>
    <w:rsid w:val="00521856"/>
    <w:rsid w:val="00521FF7"/>
    <w:rsid w:val="00535BE4"/>
    <w:rsid w:val="00557087"/>
    <w:rsid w:val="005A0F9C"/>
    <w:rsid w:val="005A4232"/>
    <w:rsid w:val="005B59E4"/>
    <w:rsid w:val="0061013C"/>
    <w:rsid w:val="00613AFB"/>
    <w:rsid w:val="00617BF8"/>
    <w:rsid w:val="006319FF"/>
    <w:rsid w:val="0065467B"/>
    <w:rsid w:val="00657DA5"/>
    <w:rsid w:val="00677132"/>
    <w:rsid w:val="0068665C"/>
    <w:rsid w:val="006B5C2D"/>
    <w:rsid w:val="006D39BD"/>
    <w:rsid w:val="006F2E4C"/>
    <w:rsid w:val="00711415"/>
    <w:rsid w:val="00717A6E"/>
    <w:rsid w:val="00717D9E"/>
    <w:rsid w:val="00732195"/>
    <w:rsid w:val="00736096"/>
    <w:rsid w:val="007405F7"/>
    <w:rsid w:val="007449BC"/>
    <w:rsid w:val="007452B0"/>
    <w:rsid w:val="007540A1"/>
    <w:rsid w:val="00767D0B"/>
    <w:rsid w:val="007A2682"/>
    <w:rsid w:val="007A28E1"/>
    <w:rsid w:val="007C1011"/>
    <w:rsid w:val="007F0ED8"/>
    <w:rsid w:val="007F5348"/>
    <w:rsid w:val="00804E0E"/>
    <w:rsid w:val="00805110"/>
    <w:rsid w:val="00807B85"/>
    <w:rsid w:val="00825840"/>
    <w:rsid w:val="008301E3"/>
    <w:rsid w:val="00830335"/>
    <w:rsid w:val="00834968"/>
    <w:rsid w:val="00855B14"/>
    <w:rsid w:val="00861974"/>
    <w:rsid w:val="0086257B"/>
    <w:rsid w:val="0086723C"/>
    <w:rsid w:val="008A2733"/>
    <w:rsid w:val="008B2882"/>
    <w:rsid w:val="008C1A16"/>
    <w:rsid w:val="008C1D84"/>
    <w:rsid w:val="008F55D3"/>
    <w:rsid w:val="00902781"/>
    <w:rsid w:val="00917A23"/>
    <w:rsid w:val="0095000D"/>
    <w:rsid w:val="0096531F"/>
    <w:rsid w:val="00965F70"/>
    <w:rsid w:val="00995B09"/>
    <w:rsid w:val="009A0423"/>
    <w:rsid w:val="009B08E4"/>
    <w:rsid w:val="009D0CF7"/>
    <w:rsid w:val="009D23D5"/>
    <w:rsid w:val="009F19E6"/>
    <w:rsid w:val="009F6BBC"/>
    <w:rsid w:val="00A041FC"/>
    <w:rsid w:val="00A06F61"/>
    <w:rsid w:val="00A21D5C"/>
    <w:rsid w:val="00A40C0D"/>
    <w:rsid w:val="00A45AC2"/>
    <w:rsid w:val="00A864FF"/>
    <w:rsid w:val="00A91577"/>
    <w:rsid w:val="00AA26C7"/>
    <w:rsid w:val="00AB0092"/>
    <w:rsid w:val="00AB4853"/>
    <w:rsid w:val="00B0428E"/>
    <w:rsid w:val="00B0597E"/>
    <w:rsid w:val="00B07E82"/>
    <w:rsid w:val="00B11CCF"/>
    <w:rsid w:val="00B122CC"/>
    <w:rsid w:val="00B13FB9"/>
    <w:rsid w:val="00B2431A"/>
    <w:rsid w:val="00B30492"/>
    <w:rsid w:val="00B37170"/>
    <w:rsid w:val="00B51855"/>
    <w:rsid w:val="00B56F56"/>
    <w:rsid w:val="00B66BD0"/>
    <w:rsid w:val="00B6702A"/>
    <w:rsid w:val="00B96A11"/>
    <w:rsid w:val="00BA0A88"/>
    <w:rsid w:val="00BA26FF"/>
    <w:rsid w:val="00BF3D26"/>
    <w:rsid w:val="00C0605D"/>
    <w:rsid w:val="00C37E88"/>
    <w:rsid w:val="00C86DA2"/>
    <w:rsid w:val="00CD3400"/>
    <w:rsid w:val="00D233CA"/>
    <w:rsid w:val="00D23B6C"/>
    <w:rsid w:val="00D315C6"/>
    <w:rsid w:val="00D54792"/>
    <w:rsid w:val="00D773A3"/>
    <w:rsid w:val="00D858BB"/>
    <w:rsid w:val="00DA5439"/>
    <w:rsid w:val="00DB3D1A"/>
    <w:rsid w:val="00DD4425"/>
    <w:rsid w:val="00DD59FD"/>
    <w:rsid w:val="00DE1D0F"/>
    <w:rsid w:val="00DF40E2"/>
    <w:rsid w:val="00DF737D"/>
    <w:rsid w:val="00E05735"/>
    <w:rsid w:val="00E06BA9"/>
    <w:rsid w:val="00E148E0"/>
    <w:rsid w:val="00E40F96"/>
    <w:rsid w:val="00E41B6D"/>
    <w:rsid w:val="00E6221B"/>
    <w:rsid w:val="00E77D96"/>
    <w:rsid w:val="00ED3258"/>
    <w:rsid w:val="00ED3509"/>
    <w:rsid w:val="00EE4A95"/>
    <w:rsid w:val="00EF2A3A"/>
    <w:rsid w:val="00EF38E0"/>
    <w:rsid w:val="00F00EA5"/>
    <w:rsid w:val="00F22239"/>
    <w:rsid w:val="00F3226A"/>
    <w:rsid w:val="00F4303B"/>
    <w:rsid w:val="00F47931"/>
    <w:rsid w:val="00F50825"/>
    <w:rsid w:val="00F55AA9"/>
    <w:rsid w:val="00F66B59"/>
    <w:rsid w:val="00F9740F"/>
    <w:rsid w:val="00FF33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9fee"/>
    </o:shapedefaults>
    <o:shapelayout v:ext="edit">
      <o:idmap v:ext="edit" data="1"/>
    </o:shapelayout>
  </w:shapeDefaults>
  <w:decimalSymbol w:val="."/>
  <w:listSeparator w:val=","/>
  <w14:docId w14:val="5B7B57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2" w:uiPriority="99" w:qFormat="1"/>
    <w:lsdException w:name="heading 3"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B0E"/>
    <w:pPr>
      <w:spacing w:after="200" w:line="264" w:lineRule="auto"/>
    </w:pPr>
    <w:rPr>
      <w:rFonts w:ascii="Arial" w:hAnsi="Arial"/>
      <w:color w:val="000000"/>
      <w:sz w:val="19"/>
      <w:szCs w:val="24"/>
    </w:rPr>
  </w:style>
  <w:style w:type="paragraph" w:styleId="Heading1">
    <w:name w:val="heading 1"/>
    <w:aliases w:val="Section Title"/>
    <w:next w:val="Normal"/>
    <w:link w:val="Heading1Char"/>
    <w:autoRedefine/>
    <w:uiPriority w:val="99"/>
    <w:qFormat/>
    <w:rsid w:val="0086723C"/>
    <w:pPr>
      <w:keepNext/>
      <w:keepLines/>
      <w:pBdr>
        <w:bottom w:val="single" w:sz="24" w:space="7" w:color="009FEE"/>
      </w:pBdr>
      <w:tabs>
        <w:tab w:val="right" w:pos="8441"/>
      </w:tabs>
      <w:spacing w:after="600" w:line="216" w:lineRule="auto"/>
      <w:outlineLvl w:val="0"/>
    </w:pPr>
    <w:rPr>
      <w:rFonts w:ascii="Arial Narrow" w:eastAsia="Times New Roman" w:hAnsi="Arial Narrow"/>
      <w:caps/>
      <w:noProof/>
      <w:color w:val="009FEE"/>
      <w:spacing w:val="6"/>
      <w:sz w:val="60"/>
      <w:szCs w:val="60"/>
    </w:rPr>
  </w:style>
  <w:style w:type="paragraph" w:styleId="Heading2">
    <w:name w:val="heading 2"/>
    <w:basedOn w:val="Normal"/>
    <w:next w:val="Normal"/>
    <w:link w:val="Heading2Char"/>
    <w:uiPriority w:val="99"/>
    <w:qFormat/>
    <w:rsid w:val="00DA5439"/>
    <w:pPr>
      <w:keepNext/>
      <w:keepLines/>
      <w:spacing w:before="500" w:line="216" w:lineRule="auto"/>
      <w:outlineLvl w:val="1"/>
    </w:pPr>
    <w:rPr>
      <w:rFonts w:ascii="Arial Narrow" w:eastAsia="Times New Roman" w:hAnsi="Arial Narrow"/>
      <w:bCs/>
      <w:caps/>
      <w:color w:val="009FEE"/>
      <w:sz w:val="36"/>
      <w:szCs w:val="26"/>
    </w:rPr>
  </w:style>
  <w:style w:type="paragraph" w:styleId="Heading3">
    <w:name w:val="heading 3"/>
    <w:basedOn w:val="Normal"/>
    <w:next w:val="Normal"/>
    <w:link w:val="Heading3Char"/>
    <w:uiPriority w:val="99"/>
    <w:qFormat/>
    <w:rsid w:val="005E1617"/>
    <w:pPr>
      <w:spacing w:before="320" w:after="100" w:line="240" w:lineRule="auto"/>
      <w:outlineLvl w:val="2"/>
    </w:pPr>
    <w:rPr>
      <w:rFonts w:ascii="Arial Narrow" w:hAnsi="Arial Narrow"/>
      <w:color w:val="636463"/>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9"/>
    <w:locked/>
    <w:rsid w:val="0086723C"/>
    <w:rPr>
      <w:rFonts w:ascii="Arial Narrow" w:eastAsia="Times New Roman" w:hAnsi="Arial Narrow"/>
      <w:caps/>
      <w:noProof/>
      <w:color w:val="009FEE"/>
      <w:spacing w:val="6"/>
      <w:sz w:val="60"/>
      <w:szCs w:val="60"/>
    </w:rPr>
  </w:style>
  <w:style w:type="character" w:customStyle="1" w:styleId="Heading2Char">
    <w:name w:val="Heading 2 Char"/>
    <w:basedOn w:val="DefaultParagraphFont"/>
    <w:link w:val="Heading2"/>
    <w:uiPriority w:val="99"/>
    <w:locked/>
    <w:rsid w:val="00DA5439"/>
    <w:rPr>
      <w:rFonts w:ascii="Arial Narrow" w:eastAsia="Times New Roman" w:hAnsi="Arial Narrow"/>
      <w:bCs/>
      <w:caps/>
      <w:color w:val="009FEE"/>
      <w:sz w:val="36"/>
      <w:szCs w:val="26"/>
    </w:rPr>
  </w:style>
  <w:style w:type="character" w:customStyle="1" w:styleId="Heading3Char">
    <w:name w:val="Heading 3 Char"/>
    <w:basedOn w:val="DefaultParagraphFont"/>
    <w:link w:val="Heading3"/>
    <w:uiPriority w:val="99"/>
    <w:locked/>
    <w:rsid w:val="005E1617"/>
    <w:rPr>
      <w:rFonts w:ascii="Arial Narrow" w:hAnsi="Arial Narrow"/>
      <w:color w:val="636463"/>
      <w:sz w:val="28"/>
      <w:szCs w:val="24"/>
      <w:lang w:val="fr-FR"/>
    </w:rPr>
  </w:style>
  <w:style w:type="paragraph" w:styleId="Header">
    <w:name w:val="header"/>
    <w:basedOn w:val="Normal"/>
    <w:link w:val="HeaderChar"/>
    <w:uiPriority w:val="99"/>
    <w:rsid w:val="00377B2B"/>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377B2B"/>
    <w:rPr>
      <w:rFonts w:ascii="Arial" w:hAnsi="Arial"/>
      <w:color w:val="0A3776"/>
      <w:sz w:val="24"/>
    </w:rPr>
  </w:style>
  <w:style w:type="paragraph" w:styleId="Footer">
    <w:name w:val="footer"/>
    <w:basedOn w:val="Normal"/>
    <w:link w:val="FooterChar"/>
    <w:uiPriority w:val="99"/>
    <w:semiHidden/>
    <w:rsid w:val="00377B2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377B2B"/>
    <w:rPr>
      <w:rFonts w:ascii="Arial" w:hAnsi="Arial"/>
      <w:color w:val="0A3776"/>
      <w:sz w:val="24"/>
    </w:rPr>
  </w:style>
  <w:style w:type="character" w:styleId="PlaceholderText">
    <w:name w:val="Placeholder Text"/>
    <w:basedOn w:val="DefaultParagraphFont"/>
    <w:uiPriority w:val="99"/>
    <w:semiHidden/>
    <w:rsid w:val="00377B2B"/>
    <w:rPr>
      <w:color w:val="808080"/>
    </w:rPr>
  </w:style>
  <w:style w:type="paragraph" w:styleId="NoSpacing">
    <w:name w:val="No Spacing"/>
    <w:link w:val="NoSpacingChar"/>
    <w:uiPriority w:val="99"/>
    <w:qFormat/>
    <w:rsid w:val="00377B2B"/>
    <w:rPr>
      <w:rFonts w:ascii="PMingLiU" w:eastAsia="PMingLiU"/>
      <w:sz w:val="22"/>
      <w:szCs w:val="22"/>
    </w:rPr>
  </w:style>
  <w:style w:type="character" w:customStyle="1" w:styleId="NoSpacingChar">
    <w:name w:val="No Spacing Char"/>
    <w:link w:val="NoSpacing"/>
    <w:uiPriority w:val="99"/>
    <w:locked/>
    <w:rsid w:val="00377B2B"/>
    <w:rPr>
      <w:rFonts w:ascii="PMingLiU" w:eastAsia="PMingLiU"/>
      <w:sz w:val="22"/>
      <w:szCs w:val="22"/>
      <w:lang w:bidi="ar-SA"/>
    </w:rPr>
  </w:style>
  <w:style w:type="character" w:styleId="PageNumber">
    <w:name w:val="page number"/>
    <w:basedOn w:val="DefaultParagraphFont"/>
    <w:uiPriority w:val="99"/>
    <w:rsid w:val="00E551FF"/>
    <w:rPr>
      <w:rFonts w:ascii="Arial" w:hAnsi="Arial" w:cs="Times New Roman"/>
      <w:sz w:val="16"/>
    </w:rPr>
  </w:style>
  <w:style w:type="paragraph" w:customStyle="1" w:styleId="Footer1">
    <w:name w:val="Footer1"/>
    <w:basedOn w:val="Normal"/>
    <w:uiPriority w:val="99"/>
    <w:rsid w:val="00377B2B"/>
    <w:rPr>
      <w:caps/>
      <w:color w:val="777877"/>
      <w:sz w:val="16"/>
    </w:rPr>
  </w:style>
  <w:style w:type="paragraph" w:styleId="TOC1">
    <w:name w:val="toc 1"/>
    <w:basedOn w:val="Normal"/>
    <w:next w:val="Normal"/>
    <w:autoRedefine/>
    <w:uiPriority w:val="39"/>
    <w:rsid w:val="00BC2458"/>
    <w:pPr>
      <w:spacing w:before="120" w:after="0"/>
    </w:pPr>
    <w:rPr>
      <w:rFonts w:ascii="Arial Narrow Bold" w:hAnsi="Arial Narrow Bold"/>
      <w:caps/>
      <w:sz w:val="22"/>
      <w:szCs w:val="22"/>
    </w:rPr>
  </w:style>
  <w:style w:type="paragraph" w:styleId="TOC2">
    <w:name w:val="toc 2"/>
    <w:basedOn w:val="Normal"/>
    <w:next w:val="Normal"/>
    <w:autoRedefine/>
    <w:uiPriority w:val="39"/>
    <w:rsid w:val="00BC2458"/>
    <w:pPr>
      <w:spacing w:after="0"/>
      <w:ind w:left="190"/>
    </w:pPr>
    <w:rPr>
      <w:rFonts w:ascii="Arial Narrow" w:hAnsi="Arial Narrow"/>
      <w:caps/>
      <w:sz w:val="22"/>
      <w:szCs w:val="22"/>
    </w:rPr>
  </w:style>
  <w:style w:type="paragraph" w:styleId="TOC3">
    <w:name w:val="toc 3"/>
    <w:basedOn w:val="Normal"/>
    <w:next w:val="Normal"/>
    <w:autoRedefine/>
    <w:uiPriority w:val="39"/>
    <w:rsid w:val="00AC46B1"/>
    <w:pPr>
      <w:spacing w:after="0"/>
      <w:ind w:left="380"/>
    </w:pPr>
    <w:rPr>
      <w:rFonts w:ascii="Arial Narrow" w:hAnsi="Arial Narrow"/>
      <w:sz w:val="22"/>
      <w:szCs w:val="22"/>
    </w:rPr>
  </w:style>
  <w:style w:type="paragraph" w:customStyle="1" w:styleId="Introtext">
    <w:name w:val="Intro text"/>
    <w:basedOn w:val="Heading1"/>
    <w:uiPriority w:val="99"/>
    <w:rsid w:val="00BC2458"/>
    <w:pPr>
      <w:pBdr>
        <w:bottom w:val="none" w:sz="0" w:space="0" w:color="auto"/>
      </w:pBdr>
    </w:pPr>
    <w:rPr>
      <w:caps w:val="0"/>
      <w:sz w:val="32"/>
    </w:rPr>
  </w:style>
  <w:style w:type="paragraph" w:customStyle="1" w:styleId="copyright">
    <w:name w:val="copyright"/>
    <w:basedOn w:val="Normal"/>
    <w:uiPriority w:val="99"/>
    <w:rsid w:val="00377B2B"/>
    <w:rPr>
      <w:sz w:val="17"/>
    </w:rPr>
  </w:style>
  <w:style w:type="paragraph" w:styleId="IntenseQuote">
    <w:name w:val="Intense Quote"/>
    <w:basedOn w:val="Normal"/>
    <w:link w:val="IntenseQuoteChar"/>
    <w:uiPriority w:val="99"/>
    <w:qFormat/>
    <w:rsid w:val="009F19E6"/>
    <w:pPr>
      <w:shd w:val="clear" w:color="auto" w:fill="FFFFFF"/>
      <w:spacing w:after="0" w:line="240" w:lineRule="auto"/>
      <w:ind w:left="720" w:right="720"/>
    </w:pPr>
    <w:rPr>
      <w:rFonts w:ascii="Arial Narrow" w:hAnsi="Arial Narrow"/>
      <w:color w:val="009FEE"/>
      <w:sz w:val="24"/>
      <w:szCs w:val="20"/>
      <w:lang w:eastAsia="ja-JP"/>
    </w:rPr>
  </w:style>
  <w:style w:type="character" w:customStyle="1" w:styleId="IntenseQuoteChar">
    <w:name w:val="Intense Quote Char"/>
    <w:basedOn w:val="DefaultParagraphFont"/>
    <w:link w:val="IntenseQuote"/>
    <w:uiPriority w:val="99"/>
    <w:locked/>
    <w:rsid w:val="009F19E6"/>
    <w:rPr>
      <w:rFonts w:ascii="Arial Narrow" w:hAnsi="Arial Narrow"/>
      <w:color w:val="009FEE"/>
      <w:sz w:val="24"/>
      <w:shd w:val="clear" w:color="auto" w:fill="FFFFFF"/>
      <w:lang w:eastAsia="ja-JP"/>
    </w:rPr>
  </w:style>
  <w:style w:type="paragraph" w:customStyle="1" w:styleId="Table1-blackheader">
    <w:name w:val="Table 1 - black header"/>
    <w:uiPriority w:val="99"/>
    <w:rsid w:val="00243CB9"/>
    <w:pPr>
      <w:spacing w:before="200"/>
    </w:pPr>
    <w:rPr>
      <w:rFonts w:ascii="Arial Narrow" w:eastAsia="Times New Roman" w:hAnsi="Arial Narrow"/>
      <w:b/>
      <w:bCs/>
      <w:color w:val="000000"/>
      <w:sz w:val="22"/>
      <w:szCs w:val="24"/>
    </w:rPr>
  </w:style>
  <w:style w:type="paragraph" w:customStyle="1" w:styleId="Table2-greyheader">
    <w:name w:val="Table 2- grey header"/>
    <w:uiPriority w:val="99"/>
    <w:rsid w:val="003114CE"/>
    <w:pPr>
      <w:spacing w:after="80"/>
    </w:pPr>
    <w:rPr>
      <w:rFonts w:ascii="Arial Narrow" w:hAnsi="Arial Narrow"/>
      <w:b/>
      <w:color w:val="636463"/>
      <w:sz w:val="22"/>
      <w:szCs w:val="24"/>
    </w:rPr>
  </w:style>
  <w:style w:type="paragraph" w:customStyle="1" w:styleId="Table3-body">
    <w:name w:val="Table 3 - body"/>
    <w:uiPriority w:val="99"/>
    <w:rsid w:val="003114CE"/>
    <w:pPr>
      <w:spacing w:after="300"/>
    </w:pPr>
    <w:rPr>
      <w:rFonts w:ascii="Arial" w:hAnsi="Arial"/>
      <w:noProof/>
      <w:color w:val="3C3C3B"/>
      <w:sz w:val="16"/>
      <w:lang w:eastAsia="ja-JP"/>
    </w:rPr>
  </w:style>
  <w:style w:type="paragraph" w:customStyle="1" w:styleId="TableHeadings">
    <w:name w:val="Table Headings"/>
    <w:uiPriority w:val="99"/>
    <w:rsid w:val="00E551FF"/>
    <w:pPr>
      <w:spacing w:after="200"/>
    </w:pPr>
    <w:rPr>
      <w:rFonts w:ascii="Arial Narrow" w:hAnsi="Arial Narrow"/>
      <w:caps/>
      <w:noProof/>
      <w:color w:val="FFFFFF"/>
      <w:sz w:val="18"/>
      <w:lang w:eastAsia="ja-JP"/>
    </w:rPr>
  </w:style>
  <w:style w:type="paragraph" w:customStyle="1" w:styleId="PullQuote">
    <w:name w:val="Pull Quote"/>
    <w:basedOn w:val="IntenseQuote"/>
    <w:autoRedefine/>
    <w:qFormat/>
    <w:rsid w:val="00F22239"/>
    <w:pPr>
      <w:framePr w:hSpace="180" w:wrap="around" w:vAnchor="text" w:hAnchor="page" w:x="1885" w:y="217"/>
      <w:shd w:val="clear" w:color="auto" w:fill="auto"/>
      <w:tabs>
        <w:tab w:val="left" w:pos="8288"/>
      </w:tabs>
      <w:spacing w:before="240"/>
      <w:ind w:left="284" w:right="284"/>
      <w:contextualSpacing/>
    </w:pPr>
    <w:rPr>
      <w:color w:val="000000"/>
      <w:sz w:val="36"/>
    </w:rPr>
  </w:style>
  <w:style w:type="paragraph" w:customStyle="1" w:styleId="pullquotebody">
    <w:name w:val="pull quote body"/>
    <w:basedOn w:val="Normal"/>
    <w:qFormat/>
    <w:rsid w:val="0086723C"/>
    <w:pPr>
      <w:framePr w:hSpace="181" w:vSpace="181" w:wrap="around" w:vAnchor="text" w:hAnchor="text" w:y="1"/>
      <w:shd w:val="clear" w:color="auto" w:fill="DDDEDD"/>
      <w:spacing w:before="100" w:beforeAutospacing="1" w:after="120"/>
      <w:ind w:left="284" w:right="284"/>
      <w:contextualSpacing/>
    </w:pPr>
    <w:rPr>
      <w:noProof/>
      <w:szCs w:val="19"/>
    </w:rPr>
  </w:style>
  <w:style w:type="paragraph" w:customStyle="1" w:styleId="pullquotegrid">
    <w:name w:val="pull quote grid"/>
    <w:uiPriority w:val="99"/>
    <w:rsid w:val="000D21F0"/>
    <w:pPr>
      <w:pBdr>
        <w:top w:val="single" w:sz="8" w:space="1" w:color="FDFCFB"/>
        <w:left w:val="single" w:sz="8" w:space="4" w:color="FDFCFB"/>
        <w:bottom w:val="single" w:sz="8" w:space="1" w:color="FDFCFB"/>
        <w:right w:val="single" w:sz="8" w:space="4" w:color="FDFCFB"/>
      </w:pBdr>
      <w:shd w:val="clear" w:color="auto" w:fill="DDDEDD"/>
      <w:spacing w:before="600" w:after="600"/>
      <w:ind w:left="567" w:right="567"/>
    </w:pPr>
    <w:rPr>
      <w:rFonts w:ascii="Arial" w:hAnsi="Arial"/>
      <w:noProof/>
      <w:sz w:val="18"/>
      <w:lang w:eastAsia="ja-JP"/>
    </w:rPr>
  </w:style>
  <w:style w:type="table" w:customStyle="1" w:styleId="pullquote-grid">
    <w:name w:val="pull quote -grid"/>
    <w:qFormat/>
    <w:rsid w:val="00805D78"/>
    <w:pPr>
      <w:contextualSpacing/>
    </w:pPr>
    <w:tblPr>
      <w:tblInd w:w="0" w:type="dxa"/>
      <w:tblBorders>
        <w:top w:val="single" w:sz="8" w:space="0" w:color="DDDEDD"/>
        <w:left w:val="single" w:sz="8" w:space="0" w:color="DDDEDD"/>
        <w:bottom w:val="single" w:sz="8" w:space="0" w:color="DDDEDD"/>
        <w:right w:val="single" w:sz="8" w:space="0" w:color="DDDEDD"/>
        <w:insideH w:val="single" w:sz="8" w:space="0" w:color="DDDEDD"/>
        <w:insideV w:val="single" w:sz="8" w:space="0" w:color="DDDEDD"/>
      </w:tblBorders>
      <w:tblCellMar>
        <w:top w:w="0" w:type="dxa"/>
        <w:left w:w="108" w:type="dxa"/>
        <w:bottom w:w="0" w:type="dxa"/>
        <w:right w:w="108" w:type="dxa"/>
      </w:tblCellMar>
    </w:tblPr>
    <w:trPr>
      <w:cantSplit/>
      <w:trHeight w:hRule="exact" w:val="567"/>
    </w:trPr>
    <w:tcPr>
      <w:shd w:val="clear" w:color="auto" w:fill="DDDEDD"/>
    </w:tcPr>
  </w:style>
  <w:style w:type="paragraph" w:styleId="ListParagraph">
    <w:name w:val="List Paragraph"/>
    <w:basedOn w:val="Normal"/>
    <w:uiPriority w:val="34"/>
    <w:qFormat/>
    <w:rsid w:val="00C908B1"/>
    <w:pPr>
      <w:spacing w:line="240" w:lineRule="auto"/>
      <w:ind w:left="720"/>
      <w:contextualSpacing/>
    </w:pPr>
  </w:style>
  <w:style w:type="paragraph" w:styleId="FootnoteText">
    <w:name w:val="footnote text"/>
    <w:basedOn w:val="Normal"/>
    <w:link w:val="FootnoteTextChar"/>
    <w:uiPriority w:val="99"/>
    <w:rsid w:val="00476A0D"/>
    <w:pPr>
      <w:spacing w:after="0" w:line="240" w:lineRule="auto"/>
    </w:pPr>
    <w:rPr>
      <w:color w:val="777877"/>
      <w:sz w:val="16"/>
    </w:rPr>
  </w:style>
  <w:style w:type="character" w:customStyle="1" w:styleId="FootnoteTextChar">
    <w:name w:val="Footnote Text Char"/>
    <w:basedOn w:val="DefaultParagraphFont"/>
    <w:link w:val="FootnoteText"/>
    <w:uiPriority w:val="99"/>
    <w:locked/>
    <w:rsid w:val="00476A0D"/>
    <w:rPr>
      <w:rFonts w:ascii="Arial" w:hAnsi="Arial"/>
      <w:color w:val="777877"/>
      <w:sz w:val="16"/>
    </w:rPr>
  </w:style>
  <w:style w:type="character" w:styleId="FootnoteReference">
    <w:name w:val="footnote reference"/>
    <w:basedOn w:val="DefaultParagraphFont"/>
    <w:uiPriority w:val="99"/>
    <w:rsid w:val="00476A0D"/>
    <w:rPr>
      <w:rFonts w:cs="Times New Roman"/>
      <w:vertAlign w:val="superscript"/>
    </w:rPr>
  </w:style>
  <w:style w:type="paragraph" w:customStyle="1" w:styleId="DocumentTitle">
    <w:name w:val="Document Title"/>
    <w:basedOn w:val="Normal"/>
    <w:uiPriority w:val="99"/>
    <w:rsid w:val="00D15EF9"/>
    <w:pPr>
      <w:spacing w:after="0" w:line="240" w:lineRule="auto"/>
    </w:pPr>
    <w:rPr>
      <w:rFonts w:ascii="Arial Narrow Bold" w:eastAsia="Times New Roman" w:hAnsi="Arial Narrow Bold"/>
      <w:caps/>
      <w:color w:val="FFFFFF"/>
      <w:sz w:val="60"/>
    </w:rPr>
  </w:style>
  <w:style w:type="paragraph" w:customStyle="1" w:styleId="DocumentSubtitle">
    <w:name w:val="Document Subtitle"/>
    <w:basedOn w:val="Normal"/>
    <w:uiPriority w:val="99"/>
    <w:rsid w:val="00D15EF9"/>
    <w:pPr>
      <w:spacing w:after="0" w:line="240" w:lineRule="auto"/>
    </w:pPr>
    <w:rPr>
      <w:rFonts w:ascii="Arial Narrow" w:eastAsia="Times New Roman" w:hAnsi="Arial Narrow"/>
      <w:bCs/>
      <w:caps/>
      <w:noProof/>
      <w:color w:val="FFFFFF"/>
      <w:spacing w:val="6"/>
      <w:sz w:val="60"/>
      <w:szCs w:val="44"/>
    </w:rPr>
  </w:style>
  <w:style w:type="character" w:styleId="Hyperlink">
    <w:name w:val="Hyperlink"/>
    <w:basedOn w:val="DefaultParagraphFont"/>
    <w:uiPriority w:val="99"/>
    <w:rsid w:val="004364D0"/>
    <w:rPr>
      <w:color w:val="0000FF" w:themeColor="hyperlink"/>
      <w:u w:val="single"/>
    </w:rPr>
  </w:style>
  <w:style w:type="paragraph" w:styleId="BalloonText">
    <w:name w:val="Balloon Text"/>
    <w:basedOn w:val="Normal"/>
    <w:link w:val="BalloonTextChar"/>
    <w:semiHidden/>
    <w:unhideWhenUsed/>
    <w:rsid w:val="00657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57DA5"/>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AB4853"/>
    <w:rPr>
      <w:sz w:val="16"/>
      <w:szCs w:val="16"/>
    </w:rPr>
  </w:style>
  <w:style w:type="paragraph" w:styleId="CommentText">
    <w:name w:val="annotation text"/>
    <w:basedOn w:val="Normal"/>
    <w:link w:val="CommentTextChar"/>
    <w:uiPriority w:val="99"/>
    <w:semiHidden/>
    <w:unhideWhenUsed/>
    <w:rsid w:val="00AB4853"/>
    <w:pPr>
      <w:spacing w:after="160" w:line="240" w:lineRule="auto"/>
    </w:pPr>
    <w:rPr>
      <w:rFonts w:asciiTheme="minorHAnsi" w:eastAsiaTheme="minorHAnsi" w:hAnsiTheme="minorHAnsi" w:cstheme="minorBidi"/>
      <w:color w:val="auto"/>
      <w:sz w:val="20"/>
      <w:szCs w:val="20"/>
      <w:lang w:val="en-GB"/>
    </w:rPr>
  </w:style>
  <w:style w:type="character" w:customStyle="1" w:styleId="CommentTextChar">
    <w:name w:val="Comment Text Char"/>
    <w:basedOn w:val="DefaultParagraphFont"/>
    <w:link w:val="CommentText"/>
    <w:uiPriority w:val="99"/>
    <w:semiHidden/>
    <w:rsid w:val="00AB4853"/>
    <w:rPr>
      <w:rFonts w:asciiTheme="minorHAnsi" w:eastAsiaTheme="minorHAnsi" w:hAnsiTheme="minorHAnsi" w:cstheme="minorBidi"/>
      <w:lang w:val="en-GB"/>
    </w:rPr>
  </w:style>
  <w:style w:type="character" w:styleId="FollowedHyperlink">
    <w:name w:val="FollowedHyperlink"/>
    <w:basedOn w:val="DefaultParagraphFont"/>
    <w:semiHidden/>
    <w:unhideWhenUsed/>
    <w:rsid w:val="00FF3385"/>
    <w:rPr>
      <w:color w:val="800080" w:themeColor="followedHyperlink"/>
      <w:u w:val="single"/>
    </w:rPr>
  </w:style>
  <w:style w:type="paragraph" w:styleId="CommentSubject">
    <w:name w:val="annotation subject"/>
    <w:basedOn w:val="CommentText"/>
    <w:next w:val="CommentText"/>
    <w:link w:val="CommentSubjectChar"/>
    <w:semiHidden/>
    <w:unhideWhenUsed/>
    <w:rsid w:val="0095000D"/>
    <w:pPr>
      <w:spacing w:after="200"/>
    </w:pPr>
    <w:rPr>
      <w:rFonts w:ascii="Arial" w:eastAsia="Cambria" w:hAnsi="Arial" w:cs="Times New Roman"/>
      <w:b/>
      <w:bCs/>
      <w:color w:val="000000"/>
      <w:lang w:val="en-US"/>
    </w:rPr>
  </w:style>
  <w:style w:type="character" w:customStyle="1" w:styleId="CommentSubjectChar">
    <w:name w:val="Comment Subject Char"/>
    <w:basedOn w:val="CommentTextChar"/>
    <w:link w:val="CommentSubject"/>
    <w:semiHidden/>
    <w:rsid w:val="0095000D"/>
    <w:rPr>
      <w:rFonts w:ascii="Arial" w:eastAsiaTheme="minorHAnsi" w:hAnsi="Arial" w:cstheme="minorBidi"/>
      <w:b/>
      <w:bCs/>
      <w:color w:val="000000"/>
      <w:lang w:val="en-GB"/>
    </w:rPr>
  </w:style>
  <w:style w:type="paragraph" w:styleId="Revision">
    <w:name w:val="Revision"/>
    <w:hidden/>
    <w:semiHidden/>
    <w:rsid w:val="009D23D5"/>
    <w:rPr>
      <w:rFonts w:ascii="Arial" w:hAnsi="Arial"/>
      <w:color w:val="000000"/>
      <w:sz w:val="19"/>
      <w:szCs w:val="24"/>
    </w:rPr>
  </w:style>
  <w:style w:type="paragraph" w:styleId="EndnoteText">
    <w:name w:val="endnote text"/>
    <w:basedOn w:val="Normal"/>
    <w:link w:val="EndnoteTextChar"/>
    <w:semiHidden/>
    <w:unhideWhenUsed/>
    <w:rsid w:val="004650FB"/>
    <w:pPr>
      <w:spacing w:after="0" w:line="240" w:lineRule="auto"/>
    </w:pPr>
    <w:rPr>
      <w:sz w:val="20"/>
      <w:szCs w:val="20"/>
    </w:rPr>
  </w:style>
  <w:style w:type="character" w:customStyle="1" w:styleId="EndnoteTextChar">
    <w:name w:val="Endnote Text Char"/>
    <w:basedOn w:val="DefaultParagraphFont"/>
    <w:link w:val="EndnoteText"/>
    <w:semiHidden/>
    <w:rsid w:val="004650FB"/>
    <w:rPr>
      <w:rFonts w:ascii="Arial" w:hAnsi="Arial"/>
      <w:color w:val="000000"/>
    </w:rPr>
  </w:style>
  <w:style w:type="character" w:styleId="EndnoteReference">
    <w:name w:val="endnote reference"/>
    <w:basedOn w:val="DefaultParagraphFont"/>
    <w:semiHidden/>
    <w:unhideWhenUsed/>
    <w:rsid w:val="00465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04">
      <w:bodyDiv w:val="1"/>
      <w:marLeft w:val="0"/>
      <w:marRight w:val="0"/>
      <w:marTop w:val="0"/>
      <w:marBottom w:val="0"/>
      <w:divBdr>
        <w:top w:val="none" w:sz="0" w:space="0" w:color="auto"/>
        <w:left w:val="none" w:sz="0" w:space="0" w:color="auto"/>
        <w:bottom w:val="none" w:sz="0" w:space="0" w:color="auto"/>
        <w:right w:val="none" w:sz="0" w:space="0" w:color="auto"/>
      </w:divBdr>
      <w:divsChild>
        <w:div w:id="903754128">
          <w:marLeft w:val="0"/>
          <w:marRight w:val="0"/>
          <w:marTop w:val="0"/>
          <w:marBottom w:val="0"/>
          <w:divBdr>
            <w:top w:val="none" w:sz="0" w:space="0" w:color="auto"/>
            <w:left w:val="none" w:sz="0" w:space="0" w:color="auto"/>
            <w:bottom w:val="none" w:sz="0" w:space="0" w:color="auto"/>
            <w:right w:val="none" w:sz="0" w:space="0" w:color="auto"/>
          </w:divBdr>
        </w:div>
        <w:div w:id="2113669014">
          <w:marLeft w:val="0"/>
          <w:marRight w:val="0"/>
          <w:marTop w:val="0"/>
          <w:marBottom w:val="0"/>
          <w:divBdr>
            <w:top w:val="none" w:sz="0" w:space="0" w:color="auto"/>
            <w:left w:val="none" w:sz="0" w:space="0" w:color="auto"/>
            <w:bottom w:val="none" w:sz="0" w:space="0" w:color="auto"/>
            <w:right w:val="none" w:sz="0" w:space="0" w:color="auto"/>
          </w:divBdr>
        </w:div>
        <w:div w:id="109009663">
          <w:marLeft w:val="0"/>
          <w:marRight w:val="0"/>
          <w:marTop w:val="0"/>
          <w:marBottom w:val="0"/>
          <w:divBdr>
            <w:top w:val="none" w:sz="0" w:space="0" w:color="auto"/>
            <w:left w:val="none" w:sz="0" w:space="0" w:color="auto"/>
            <w:bottom w:val="none" w:sz="0" w:space="0" w:color="auto"/>
            <w:right w:val="none" w:sz="0" w:space="0" w:color="auto"/>
          </w:divBdr>
        </w:div>
        <w:div w:id="453330240">
          <w:marLeft w:val="0"/>
          <w:marRight w:val="0"/>
          <w:marTop w:val="0"/>
          <w:marBottom w:val="0"/>
          <w:divBdr>
            <w:top w:val="none" w:sz="0" w:space="0" w:color="auto"/>
            <w:left w:val="none" w:sz="0" w:space="0" w:color="auto"/>
            <w:bottom w:val="none" w:sz="0" w:space="0" w:color="auto"/>
            <w:right w:val="none" w:sz="0" w:space="0" w:color="auto"/>
          </w:divBdr>
        </w:div>
        <w:div w:id="1296982907">
          <w:marLeft w:val="0"/>
          <w:marRight w:val="0"/>
          <w:marTop w:val="0"/>
          <w:marBottom w:val="0"/>
          <w:divBdr>
            <w:top w:val="none" w:sz="0" w:space="0" w:color="auto"/>
            <w:left w:val="none" w:sz="0" w:space="0" w:color="auto"/>
            <w:bottom w:val="none" w:sz="0" w:space="0" w:color="auto"/>
            <w:right w:val="none" w:sz="0" w:space="0" w:color="auto"/>
          </w:divBdr>
        </w:div>
        <w:div w:id="2121100564">
          <w:marLeft w:val="0"/>
          <w:marRight w:val="0"/>
          <w:marTop w:val="0"/>
          <w:marBottom w:val="0"/>
          <w:divBdr>
            <w:top w:val="none" w:sz="0" w:space="0" w:color="auto"/>
            <w:left w:val="none" w:sz="0" w:space="0" w:color="auto"/>
            <w:bottom w:val="none" w:sz="0" w:space="0" w:color="auto"/>
            <w:right w:val="none" w:sz="0" w:space="0" w:color="auto"/>
          </w:divBdr>
        </w:div>
        <w:div w:id="846289609">
          <w:marLeft w:val="0"/>
          <w:marRight w:val="0"/>
          <w:marTop w:val="0"/>
          <w:marBottom w:val="0"/>
          <w:divBdr>
            <w:top w:val="none" w:sz="0" w:space="0" w:color="auto"/>
            <w:left w:val="none" w:sz="0" w:space="0" w:color="auto"/>
            <w:bottom w:val="none" w:sz="0" w:space="0" w:color="auto"/>
            <w:right w:val="none" w:sz="0" w:space="0" w:color="auto"/>
          </w:divBdr>
        </w:div>
        <w:div w:id="1810317756">
          <w:marLeft w:val="0"/>
          <w:marRight w:val="0"/>
          <w:marTop w:val="0"/>
          <w:marBottom w:val="0"/>
          <w:divBdr>
            <w:top w:val="none" w:sz="0" w:space="0" w:color="auto"/>
            <w:left w:val="none" w:sz="0" w:space="0" w:color="auto"/>
            <w:bottom w:val="none" w:sz="0" w:space="0" w:color="auto"/>
            <w:right w:val="none" w:sz="0" w:space="0" w:color="auto"/>
          </w:divBdr>
        </w:div>
        <w:div w:id="1411073972">
          <w:marLeft w:val="0"/>
          <w:marRight w:val="0"/>
          <w:marTop w:val="0"/>
          <w:marBottom w:val="0"/>
          <w:divBdr>
            <w:top w:val="none" w:sz="0" w:space="0" w:color="auto"/>
            <w:left w:val="none" w:sz="0" w:space="0" w:color="auto"/>
            <w:bottom w:val="none" w:sz="0" w:space="0" w:color="auto"/>
            <w:right w:val="none" w:sz="0" w:space="0" w:color="auto"/>
          </w:divBdr>
        </w:div>
        <w:div w:id="1764451217">
          <w:marLeft w:val="0"/>
          <w:marRight w:val="0"/>
          <w:marTop w:val="0"/>
          <w:marBottom w:val="0"/>
          <w:divBdr>
            <w:top w:val="none" w:sz="0" w:space="0" w:color="auto"/>
            <w:left w:val="none" w:sz="0" w:space="0" w:color="auto"/>
            <w:bottom w:val="none" w:sz="0" w:space="0" w:color="auto"/>
            <w:right w:val="none" w:sz="0" w:space="0" w:color="auto"/>
          </w:divBdr>
        </w:div>
        <w:div w:id="1698921622">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1282684306">
          <w:marLeft w:val="0"/>
          <w:marRight w:val="0"/>
          <w:marTop w:val="0"/>
          <w:marBottom w:val="0"/>
          <w:divBdr>
            <w:top w:val="none" w:sz="0" w:space="0" w:color="auto"/>
            <w:left w:val="none" w:sz="0" w:space="0" w:color="auto"/>
            <w:bottom w:val="none" w:sz="0" w:space="0" w:color="auto"/>
            <w:right w:val="none" w:sz="0" w:space="0" w:color="auto"/>
          </w:divBdr>
        </w:div>
        <w:div w:id="724064203">
          <w:marLeft w:val="0"/>
          <w:marRight w:val="0"/>
          <w:marTop w:val="0"/>
          <w:marBottom w:val="0"/>
          <w:divBdr>
            <w:top w:val="none" w:sz="0" w:space="0" w:color="auto"/>
            <w:left w:val="none" w:sz="0" w:space="0" w:color="auto"/>
            <w:bottom w:val="none" w:sz="0" w:space="0" w:color="auto"/>
            <w:right w:val="none" w:sz="0" w:space="0" w:color="auto"/>
          </w:divBdr>
        </w:div>
        <w:div w:id="971179878">
          <w:marLeft w:val="0"/>
          <w:marRight w:val="0"/>
          <w:marTop w:val="0"/>
          <w:marBottom w:val="0"/>
          <w:divBdr>
            <w:top w:val="none" w:sz="0" w:space="0" w:color="auto"/>
            <w:left w:val="none" w:sz="0" w:space="0" w:color="auto"/>
            <w:bottom w:val="none" w:sz="0" w:space="0" w:color="auto"/>
            <w:right w:val="none" w:sz="0" w:space="0" w:color="auto"/>
          </w:divBdr>
        </w:div>
        <w:div w:id="1371999947">
          <w:marLeft w:val="0"/>
          <w:marRight w:val="0"/>
          <w:marTop w:val="0"/>
          <w:marBottom w:val="0"/>
          <w:divBdr>
            <w:top w:val="none" w:sz="0" w:space="0" w:color="auto"/>
            <w:left w:val="none" w:sz="0" w:space="0" w:color="auto"/>
            <w:bottom w:val="none" w:sz="0" w:space="0" w:color="auto"/>
            <w:right w:val="none" w:sz="0" w:space="0" w:color="auto"/>
          </w:divBdr>
        </w:div>
        <w:div w:id="419375639">
          <w:marLeft w:val="0"/>
          <w:marRight w:val="0"/>
          <w:marTop w:val="0"/>
          <w:marBottom w:val="0"/>
          <w:divBdr>
            <w:top w:val="none" w:sz="0" w:space="0" w:color="auto"/>
            <w:left w:val="none" w:sz="0" w:space="0" w:color="auto"/>
            <w:bottom w:val="none" w:sz="0" w:space="0" w:color="auto"/>
            <w:right w:val="none" w:sz="0" w:space="0" w:color="auto"/>
          </w:divBdr>
        </w:div>
        <w:div w:id="1443839044">
          <w:marLeft w:val="0"/>
          <w:marRight w:val="0"/>
          <w:marTop w:val="0"/>
          <w:marBottom w:val="0"/>
          <w:divBdr>
            <w:top w:val="none" w:sz="0" w:space="0" w:color="auto"/>
            <w:left w:val="none" w:sz="0" w:space="0" w:color="auto"/>
            <w:bottom w:val="none" w:sz="0" w:space="0" w:color="auto"/>
            <w:right w:val="none" w:sz="0" w:space="0" w:color="auto"/>
          </w:divBdr>
        </w:div>
        <w:div w:id="404111611">
          <w:marLeft w:val="0"/>
          <w:marRight w:val="0"/>
          <w:marTop w:val="0"/>
          <w:marBottom w:val="0"/>
          <w:divBdr>
            <w:top w:val="none" w:sz="0" w:space="0" w:color="auto"/>
            <w:left w:val="none" w:sz="0" w:space="0" w:color="auto"/>
            <w:bottom w:val="none" w:sz="0" w:space="0" w:color="auto"/>
            <w:right w:val="none" w:sz="0" w:space="0" w:color="auto"/>
          </w:divBdr>
        </w:div>
        <w:div w:id="192349285">
          <w:marLeft w:val="0"/>
          <w:marRight w:val="0"/>
          <w:marTop w:val="0"/>
          <w:marBottom w:val="0"/>
          <w:divBdr>
            <w:top w:val="none" w:sz="0" w:space="0" w:color="auto"/>
            <w:left w:val="none" w:sz="0" w:space="0" w:color="auto"/>
            <w:bottom w:val="none" w:sz="0" w:space="0" w:color="auto"/>
            <w:right w:val="none" w:sz="0" w:space="0" w:color="auto"/>
          </w:divBdr>
        </w:div>
        <w:div w:id="488981506">
          <w:marLeft w:val="0"/>
          <w:marRight w:val="0"/>
          <w:marTop w:val="0"/>
          <w:marBottom w:val="0"/>
          <w:divBdr>
            <w:top w:val="none" w:sz="0" w:space="0" w:color="auto"/>
            <w:left w:val="none" w:sz="0" w:space="0" w:color="auto"/>
            <w:bottom w:val="none" w:sz="0" w:space="0" w:color="auto"/>
            <w:right w:val="none" w:sz="0" w:space="0" w:color="auto"/>
          </w:divBdr>
        </w:div>
        <w:div w:id="780146254">
          <w:marLeft w:val="0"/>
          <w:marRight w:val="0"/>
          <w:marTop w:val="0"/>
          <w:marBottom w:val="0"/>
          <w:divBdr>
            <w:top w:val="none" w:sz="0" w:space="0" w:color="auto"/>
            <w:left w:val="none" w:sz="0" w:space="0" w:color="auto"/>
            <w:bottom w:val="none" w:sz="0" w:space="0" w:color="auto"/>
            <w:right w:val="none" w:sz="0" w:space="0" w:color="auto"/>
          </w:divBdr>
        </w:div>
        <w:div w:id="760562248">
          <w:marLeft w:val="0"/>
          <w:marRight w:val="0"/>
          <w:marTop w:val="0"/>
          <w:marBottom w:val="0"/>
          <w:divBdr>
            <w:top w:val="none" w:sz="0" w:space="0" w:color="auto"/>
            <w:left w:val="none" w:sz="0" w:space="0" w:color="auto"/>
            <w:bottom w:val="none" w:sz="0" w:space="0" w:color="auto"/>
            <w:right w:val="none" w:sz="0" w:space="0" w:color="auto"/>
          </w:divBdr>
        </w:div>
        <w:div w:id="1633050024">
          <w:marLeft w:val="0"/>
          <w:marRight w:val="0"/>
          <w:marTop w:val="0"/>
          <w:marBottom w:val="0"/>
          <w:divBdr>
            <w:top w:val="none" w:sz="0" w:space="0" w:color="auto"/>
            <w:left w:val="none" w:sz="0" w:space="0" w:color="auto"/>
            <w:bottom w:val="none" w:sz="0" w:space="0" w:color="auto"/>
            <w:right w:val="none" w:sz="0" w:space="0" w:color="auto"/>
          </w:divBdr>
        </w:div>
        <w:div w:id="463157705">
          <w:marLeft w:val="0"/>
          <w:marRight w:val="0"/>
          <w:marTop w:val="0"/>
          <w:marBottom w:val="0"/>
          <w:divBdr>
            <w:top w:val="none" w:sz="0" w:space="0" w:color="auto"/>
            <w:left w:val="none" w:sz="0" w:space="0" w:color="auto"/>
            <w:bottom w:val="none" w:sz="0" w:space="0" w:color="auto"/>
            <w:right w:val="none" w:sz="0" w:space="0" w:color="auto"/>
          </w:divBdr>
        </w:div>
      </w:divsChild>
    </w:div>
    <w:div w:id="40443323">
      <w:bodyDiv w:val="1"/>
      <w:marLeft w:val="0"/>
      <w:marRight w:val="0"/>
      <w:marTop w:val="0"/>
      <w:marBottom w:val="0"/>
      <w:divBdr>
        <w:top w:val="none" w:sz="0" w:space="0" w:color="auto"/>
        <w:left w:val="none" w:sz="0" w:space="0" w:color="auto"/>
        <w:bottom w:val="none" w:sz="0" w:space="0" w:color="auto"/>
        <w:right w:val="none" w:sz="0" w:space="0" w:color="auto"/>
      </w:divBdr>
      <w:divsChild>
        <w:div w:id="796921278">
          <w:marLeft w:val="0"/>
          <w:marRight w:val="0"/>
          <w:marTop w:val="0"/>
          <w:marBottom w:val="0"/>
          <w:divBdr>
            <w:top w:val="none" w:sz="0" w:space="0" w:color="auto"/>
            <w:left w:val="none" w:sz="0" w:space="0" w:color="auto"/>
            <w:bottom w:val="none" w:sz="0" w:space="0" w:color="auto"/>
            <w:right w:val="none" w:sz="0" w:space="0" w:color="auto"/>
          </w:divBdr>
        </w:div>
        <w:div w:id="802038717">
          <w:marLeft w:val="0"/>
          <w:marRight w:val="0"/>
          <w:marTop w:val="0"/>
          <w:marBottom w:val="0"/>
          <w:divBdr>
            <w:top w:val="none" w:sz="0" w:space="0" w:color="auto"/>
            <w:left w:val="none" w:sz="0" w:space="0" w:color="auto"/>
            <w:bottom w:val="none" w:sz="0" w:space="0" w:color="auto"/>
            <w:right w:val="none" w:sz="0" w:space="0" w:color="auto"/>
          </w:divBdr>
        </w:div>
        <w:div w:id="434178666">
          <w:marLeft w:val="0"/>
          <w:marRight w:val="0"/>
          <w:marTop w:val="0"/>
          <w:marBottom w:val="0"/>
          <w:divBdr>
            <w:top w:val="none" w:sz="0" w:space="0" w:color="auto"/>
            <w:left w:val="none" w:sz="0" w:space="0" w:color="auto"/>
            <w:bottom w:val="none" w:sz="0" w:space="0" w:color="auto"/>
            <w:right w:val="none" w:sz="0" w:space="0" w:color="auto"/>
          </w:divBdr>
        </w:div>
      </w:divsChild>
    </w:div>
    <w:div w:id="331103968">
      <w:bodyDiv w:val="1"/>
      <w:marLeft w:val="0"/>
      <w:marRight w:val="0"/>
      <w:marTop w:val="0"/>
      <w:marBottom w:val="0"/>
      <w:divBdr>
        <w:top w:val="none" w:sz="0" w:space="0" w:color="auto"/>
        <w:left w:val="none" w:sz="0" w:space="0" w:color="auto"/>
        <w:bottom w:val="none" w:sz="0" w:space="0" w:color="auto"/>
        <w:right w:val="none" w:sz="0" w:space="0" w:color="auto"/>
      </w:divBdr>
      <w:divsChild>
        <w:div w:id="1686516946">
          <w:marLeft w:val="0"/>
          <w:marRight w:val="0"/>
          <w:marTop w:val="0"/>
          <w:marBottom w:val="0"/>
          <w:divBdr>
            <w:top w:val="none" w:sz="0" w:space="0" w:color="auto"/>
            <w:left w:val="none" w:sz="0" w:space="0" w:color="auto"/>
            <w:bottom w:val="none" w:sz="0" w:space="0" w:color="auto"/>
            <w:right w:val="none" w:sz="0" w:space="0" w:color="auto"/>
          </w:divBdr>
        </w:div>
        <w:div w:id="1960139533">
          <w:marLeft w:val="0"/>
          <w:marRight w:val="0"/>
          <w:marTop w:val="0"/>
          <w:marBottom w:val="0"/>
          <w:divBdr>
            <w:top w:val="none" w:sz="0" w:space="0" w:color="auto"/>
            <w:left w:val="none" w:sz="0" w:space="0" w:color="auto"/>
            <w:bottom w:val="none" w:sz="0" w:space="0" w:color="auto"/>
            <w:right w:val="none" w:sz="0" w:space="0" w:color="auto"/>
          </w:divBdr>
        </w:div>
      </w:divsChild>
    </w:div>
    <w:div w:id="682627357">
      <w:bodyDiv w:val="1"/>
      <w:marLeft w:val="0"/>
      <w:marRight w:val="0"/>
      <w:marTop w:val="0"/>
      <w:marBottom w:val="0"/>
      <w:divBdr>
        <w:top w:val="none" w:sz="0" w:space="0" w:color="auto"/>
        <w:left w:val="none" w:sz="0" w:space="0" w:color="auto"/>
        <w:bottom w:val="none" w:sz="0" w:space="0" w:color="auto"/>
        <w:right w:val="none" w:sz="0" w:space="0" w:color="auto"/>
      </w:divBdr>
      <w:divsChild>
        <w:div w:id="265970441">
          <w:marLeft w:val="0"/>
          <w:marRight w:val="0"/>
          <w:marTop w:val="0"/>
          <w:marBottom w:val="0"/>
          <w:divBdr>
            <w:top w:val="none" w:sz="0" w:space="0" w:color="auto"/>
            <w:left w:val="none" w:sz="0" w:space="0" w:color="auto"/>
            <w:bottom w:val="none" w:sz="0" w:space="0" w:color="auto"/>
            <w:right w:val="none" w:sz="0" w:space="0" w:color="auto"/>
          </w:divBdr>
        </w:div>
        <w:div w:id="1792940226">
          <w:marLeft w:val="0"/>
          <w:marRight w:val="0"/>
          <w:marTop w:val="0"/>
          <w:marBottom w:val="0"/>
          <w:divBdr>
            <w:top w:val="none" w:sz="0" w:space="0" w:color="auto"/>
            <w:left w:val="none" w:sz="0" w:space="0" w:color="auto"/>
            <w:bottom w:val="none" w:sz="0" w:space="0" w:color="auto"/>
            <w:right w:val="none" w:sz="0" w:space="0" w:color="auto"/>
          </w:divBdr>
        </w:div>
        <w:div w:id="1366248316">
          <w:marLeft w:val="0"/>
          <w:marRight w:val="0"/>
          <w:marTop w:val="0"/>
          <w:marBottom w:val="0"/>
          <w:divBdr>
            <w:top w:val="none" w:sz="0" w:space="0" w:color="auto"/>
            <w:left w:val="none" w:sz="0" w:space="0" w:color="auto"/>
            <w:bottom w:val="none" w:sz="0" w:space="0" w:color="auto"/>
            <w:right w:val="none" w:sz="0" w:space="0" w:color="auto"/>
          </w:divBdr>
        </w:div>
        <w:div w:id="2116828430">
          <w:marLeft w:val="0"/>
          <w:marRight w:val="0"/>
          <w:marTop w:val="0"/>
          <w:marBottom w:val="0"/>
          <w:divBdr>
            <w:top w:val="none" w:sz="0" w:space="0" w:color="auto"/>
            <w:left w:val="none" w:sz="0" w:space="0" w:color="auto"/>
            <w:bottom w:val="none" w:sz="0" w:space="0" w:color="auto"/>
            <w:right w:val="none" w:sz="0" w:space="0" w:color="auto"/>
          </w:divBdr>
        </w:div>
        <w:div w:id="1843544391">
          <w:marLeft w:val="0"/>
          <w:marRight w:val="0"/>
          <w:marTop w:val="0"/>
          <w:marBottom w:val="0"/>
          <w:divBdr>
            <w:top w:val="none" w:sz="0" w:space="0" w:color="auto"/>
            <w:left w:val="none" w:sz="0" w:space="0" w:color="auto"/>
            <w:bottom w:val="none" w:sz="0" w:space="0" w:color="auto"/>
            <w:right w:val="none" w:sz="0" w:space="0" w:color="auto"/>
          </w:divBdr>
        </w:div>
        <w:div w:id="1637836818">
          <w:marLeft w:val="0"/>
          <w:marRight w:val="0"/>
          <w:marTop w:val="0"/>
          <w:marBottom w:val="0"/>
          <w:divBdr>
            <w:top w:val="none" w:sz="0" w:space="0" w:color="auto"/>
            <w:left w:val="none" w:sz="0" w:space="0" w:color="auto"/>
            <w:bottom w:val="none" w:sz="0" w:space="0" w:color="auto"/>
            <w:right w:val="none" w:sz="0" w:space="0" w:color="auto"/>
          </w:divBdr>
        </w:div>
        <w:div w:id="783571443">
          <w:marLeft w:val="0"/>
          <w:marRight w:val="0"/>
          <w:marTop w:val="0"/>
          <w:marBottom w:val="0"/>
          <w:divBdr>
            <w:top w:val="none" w:sz="0" w:space="0" w:color="auto"/>
            <w:left w:val="none" w:sz="0" w:space="0" w:color="auto"/>
            <w:bottom w:val="none" w:sz="0" w:space="0" w:color="auto"/>
            <w:right w:val="none" w:sz="0" w:space="0" w:color="auto"/>
          </w:divBdr>
        </w:div>
        <w:div w:id="1348941462">
          <w:marLeft w:val="0"/>
          <w:marRight w:val="0"/>
          <w:marTop w:val="0"/>
          <w:marBottom w:val="0"/>
          <w:divBdr>
            <w:top w:val="none" w:sz="0" w:space="0" w:color="auto"/>
            <w:left w:val="none" w:sz="0" w:space="0" w:color="auto"/>
            <w:bottom w:val="none" w:sz="0" w:space="0" w:color="auto"/>
            <w:right w:val="none" w:sz="0" w:space="0" w:color="auto"/>
          </w:divBdr>
        </w:div>
        <w:div w:id="93028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umblr.com/redirect?z=http%3A%2F%2Fedemocracia.camara.gov.br%2Fweb%2Festatuto-da-pessoa-com-deficiencia%2Fwikilegis%23.UiUDWtJJOxo&amp;t=NzFhNWNjZjkwMTQ3NTM5NDhmOTczMzdiZWVhNTQ1Y2Q5ZmI2YWIxYixsUGRIRmZRNA%3D%3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C07A-6676-458A-9E56-A9E42988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3705</Words>
  <Characters>22743</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Everett;Atiqah Fairuz Salleh</dc:creator>
  <cp:lastModifiedBy>Andrew McDevitt</cp:lastModifiedBy>
  <cp:revision>2</cp:revision>
  <cp:lastPrinted>2013-01-24T16:03:00Z</cp:lastPrinted>
  <dcterms:created xsi:type="dcterms:W3CDTF">2016-11-24T13:56:00Z</dcterms:created>
  <dcterms:modified xsi:type="dcterms:W3CDTF">2016-11-24T13:56:00Z</dcterms:modified>
</cp:coreProperties>
</file>